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50A7E" w14:textId="56E942F2" w:rsidR="00BA70B1" w:rsidRDefault="00BA70B1">
      <w:pPr>
        <w:widowControl/>
        <w:autoSpaceDE/>
        <w:autoSpaceDN/>
        <w:spacing w:after="160" w:line="259" w:lineRule="auto"/>
        <w:jc w:val="left"/>
      </w:pPr>
    </w:p>
    <w:p w14:paraId="1987F4D3" w14:textId="1CE8F0DE" w:rsidR="00342D69" w:rsidRDefault="00E405A5" w:rsidP="006C6CDA">
      <w:r>
        <w:rPr>
          <w:noProof/>
        </w:rPr>
        <w:drawing>
          <wp:anchor distT="0" distB="0" distL="114300" distR="114300" simplePos="0" relativeHeight="251660288" behindDoc="1" locked="0" layoutInCell="1" allowOverlap="1" wp14:anchorId="4A1FE79D" wp14:editId="4DEA6A6E">
            <wp:simplePos x="0" y="0"/>
            <wp:positionH relativeFrom="margin">
              <wp:posOffset>4124325</wp:posOffset>
            </wp:positionH>
            <wp:positionV relativeFrom="paragraph">
              <wp:posOffset>-504825</wp:posOffset>
            </wp:positionV>
            <wp:extent cx="2283460" cy="1104900"/>
            <wp:effectExtent l="0" t="0" r="2540" b="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3460" cy="1104900"/>
                    </a:xfrm>
                    <a:prstGeom prst="rect">
                      <a:avLst/>
                    </a:prstGeom>
                  </pic:spPr>
                </pic:pic>
              </a:graphicData>
            </a:graphic>
            <wp14:sizeRelH relativeFrom="page">
              <wp14:pctWidth>0</wp14:pctWidth>
            </wp14:sizeRelH>
            <wp14:sizeRelV relativeFrom="page">
              <wp14:pctHeight>0</wp14:pctHeight>
            </wp14:sizeRelV>
          </wp:anchor>
        </w:drawing>
      </w:r>
    </w:p>
    <w:p w14:paraId="526D62F5" w14:textId="71E7A1E3" w:rsidR="00CE24A0" w:rsidRDefault="00CE24A0" w:rsidP="00CE24A0">
      <w:pPr>
        <w:pStyle w:val="Heading1"/>
        <w:jc w:val="center"/>
        <w:rPr>
          <w:sz w:val="40"/>
          <w:szCs w:val="24"/>
        </w:rPr>
      </w:pPr>
    </w:p>
    <w:p w14:paraId="70851E39" w14:textId="5E3A79E0" w:rsidR="00CE24A0" w:rsidRDefault="00886C62" w:rsidP="00CE24A0">
      <w:pPr>
        <w:pStyle w:val="Heading1"/>
        <w:jc w:val="center"/>
        <w:rPr>
          <w:sz w:val="40"/>
          <w:szCs w:val="24"/>
        </w:rPr>
      </w:pPr>
      <w:r>
        <w:rPr>
          <w:noProof/>
        </w:rPr>
        <w:drawing>
          <wp:anchor distT="0" distB="0" distL="114300" distR="114300" simplePos="0" relativeHeight="251661312" behindDoc="1" locked="0" layoutInCell="1" allowOverlap="1" wp14:anchorId="38265FC5" wp14:editId="17008EED">
            <wp:simplePos x="0" y="0"/>
            <wp:positionH relativeFrom="page">
              <wp:posOffset>-38100</wp:posOffset>
            </wp:positionH>
            <wp:positionV relativeFrom="page">
              <wp:posOffset>2228215</wp:posOffset>
            </wp:positionV>
            <wp:extent cx="7791120" cy="7830185"/>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7791120" cy="7830185"/>
                    </a:xfrm>
                    <a:prstGeom prst="rect">
                      <a:avLst/>
                    </a:prstGeom>
                  </pic:spPr>
                </pic:pic>
              </a:graphicData>
            </a:graphic>
            <wp14:sizeRelH relativeFrom="page">
              <wp14:pctWidth>0</wp14:pctWidth>
            </wp14:sizeRelH>
            <wp14:sizeRelV relativeFrom="page">
              <wp14:pctHeight>0</wp14:pctHeight>
            </wp14:sizeRelV>
          </wp:anchor>
        </w:drawing>
      </w:r>
    </w:p>
    <w:p w14:paraId="0EDCFD3D" w14:textId="243610D1" w:rsidR="00CE24A0" w:rsidRDefault="00CE24A0" w:rsidP="00CE24A0">
      <w:pPr>
        <w:pStyle w:val="Heading1"/>
        <w:jc w:val="center"/>
        <w:rPr>
          <w:sz w:val="40"/>
          <w:szCs w:val="24"/>
        </w:rPr>
      </w:pPr>
      <w:r>
        <w:rPr>
          <w:sz w:val="40"/>
          <w:szCs w:val="24"/>
        </w:rPr>
        <w:t>Australian Meat Processing</w:t>
      </w:r>
    </w:p>
    <w:p w14:paraId="4EEBB386" w14:textId="7076CACC" w:rsidR="00CE24A0" w:rsidRPr="006C6CDA" w:rsidRDefault="00CE24A0" w:rsidP="00CE24A0">
      <w:pPr>
        <w:pStyle w:val="Heading1"/>
        <w:jc w:val="center"/>
        <w:rPr>
          <w:sz w:val="40"/>
          <w:szCs w:val="24"/>
        </w:rPr>
      </w:pPr>
      <w:r w:rsidRPr="006C6CDA">
        <w:rPr>
          <w:sz w:val="40"/>
          <w:szCs w:val="24"/>
        </w:rPr>
        <w:t>Industr</w:t>
      </w:r>
      <w:r>
        <w:rPr>
          <w:sz w:val="40"/>
          <w:szCs w:val="24"/>
        </w:rPr>
        <w:t xml:space="preserve">y </w:t>
      </w:r>
      <w:r w:rsidRPr="006C6CDA">
        <w:rPr>
          <w:sz w:val="40"/>
          <w:szCs w:val="24"/>
        </w:rPr>
        <w:t>Skills Report</w:t>
      </w:r>
    </w:p>
    <w:p w14:paraId="22A9309D" w14:textId="48687B67" w:rsidR="00BA70B1" w:rsidRDefault="00BA70B1">
      <w:pPr>
        <w:widowControl/>
        <w:autoSpaceDE/>
        <w:autoSpaceDN/>
        <w:spacing w:after="160" w:line="259" w:lineRule="auto"/>
        <w:jc w:val="left"/>
      </w:pPr>
      <w:r>
        <w:br w:type="page"/>
      </w:r>
    </w:p>
    <w:p w14:paraId="6BBCEBC3" w14:textId="5CD55ACE" w:rsidR="006C6CDA" w:rsidRDefault="006C6CDA" w:rsidP="006C6CDA">
      <w:pPr>
        <w:pStyle w:val="Heading1"/>
        <w:rPr>
          <w:b/>
          <w:bCs/>
          <w:noProof/>
        </w:rPr>
      </w:pPr>
      <w:r>
        <w:lastRenderedPageBreak/>
        <w:t>Contents</w:t>
      </w:r>
    </w:p>
    <w:p w14:paraId="18C9A124" w14:textId="71610334" w:rsidR="004C65C5" w:rsidRDefault="00256600">
      <w:pPr>
        <w:pStyle w:val="TOC1"/>
        <w:rPr>
          <w:rFonts w:asciiTheme="minorHAnsi" w:eastAsiaTheme="minorEastAsia" w:hAnsiTheme="minorHAnsi" w:cstheme="minorBidi"/>
          <w:b w:val="0"/>
          <w:bCs w:val="0"/>
          <w:color w:val="auto"/>
          <w:sz w:val="22"/>
          <w:lang w:eastAsia="en-AU"/>
        </w:rPr>
      </w:pPr>
      <w:r>
        <w:fldChar w:fldCharType="begin"/>
      </w:r>
      <w:r>
        <w:instrText xml:space="preserve"> TOC \h \z \t "Heading 2,1,Heading 3,2,Heading 4,3,SI Heading 1,1,APPENDICES,1" </w:instrText>
      </w:r>
      <w:r>
        <w:fldChar w:fldCharType="separate"/>
      </w:r>
      <w:hyperlink w:anchor="_Toc115363685" w:history="1">
        <w:r w:rsidR="004C65C5" w:rsidRPr="009A7CD7">
          <w:rPr>
            <w:rStyle w:val="Hyperlink"/>
          </w:rPr>
          <w:t>Acknowledgement of the work of IRCs</w:t>
        </w:r>
        <w:r w:rsidR="004C65C5">
          <w:rPr>
            <w:webHidden/>
          </w:rPr>
          <w:tab/>
        </w:r>
        <w:r w:rsidR="004C65C5">
          <w:rPr>
            <w:webHidden/>
          </w:rPr>
          <w:fldChar w:fldCharType="begin"/>
        </w:r>
        <w:r w:rsidR="004C65C5">
          <w:rPr>
            <w:webHidden/>
          </w:rPr>
          <w:instrText xml:space="preserve"> PAGEREF _Toc115363685 \h </w:instrText>
        </w:r>
        <w:r w:rsidR="004C65C5">
          <w:rPr>
            <w:webHidden/>
          </w:rPr>
        </w:r>
        <w:r w:rsidR="004C65C5">
          <w:rPr>
            <w:webHidden/>
          </w:rPr>
          <w:fldChar w:fldCharType="separate"/>
        </w:r>
        <w:r w:rsidR="004C65C5">
          <w:rPr>
            <w:webHidden/>
          </w:rPr>
          <w:t>3</w:t>
        </w:r>
        <w:r w:rsidR="004C65C5">
          <w:rPr>
            <w:webHidden/>
          </w:rPr>
          <w:fldChar w:fldCharType="end"/>
        </w:r>
      </w:hyperlink>
    </w:p>
    <w:p w14:paraId="0A3799C1" w14:textId="4F1889D4" w:rsidR="004C65C5" w:rsidRDefault="0069100F">
      <w:pPr>
        <w:pStyle w:val="TOC1"/>
        <w:rPr>
          <w:rFonts w:asciiTheme="minorHAnsi" w:eastAsiaTheme="minorEastAsia" w:hAnsiTheme="minorHAnsi" w:cstheme="minorBidi"/>
          <w:b w:val="0"/>
          <w:bCs w:val="0"/>
          <w:color w:val="auto"/>
          <w:sz w:val="22"/>
          <w:lang w:eastAsia="en-AU"/>
        </w:rPr>
      </w:pPr>
      <w:hyperlink w:anchor="_Toc115363686" w:history="1">
        <w:r w:rsidR="004C65C5" w:rsidRPr="009A7CD7">
          <w:rPr>
            <w:rStyle w:val="Hyperlink"/>
          </w:rPr>
          <w:t>Acknowledgement of Country</w:t>
        </w:r>
        <w:r w:rsidR="004C65C5">
          <w:rPr>
            <w:webHidden/>
          </w:rPr>
          <w:tab/>
        </w:r>
        <w:r w:rsidR="004C65C5">
          <w:rPr>
            <w:webHidden/>
          </w:rPr>
          <w:fldChar w:fldCharType="begin"/>
        </w:r>
        <w:r w:rsidR="004C65C5">
          <w:rPr>
            <w:webHidden/>
          </w:rPr>
          <w:instrText xml:space="preserve"> PAGEREF _Toc115363686 \h </w:instrText>
        </w:r>
        <w:r w:rsidR="004C65C5">
          <w:rPr>
            <w:webHidden/>
          </w:rPr>
        </w:r>
        <w:r w:rsidR="004C65C5">
          <w:rPr>
            <w:webHidden/>
          </w:rPr>
          <w:fldChar w:fldCharType="separate"/>
        </w:r>
        <w:r w:rsidR="004C65C5">
          <w:rPr>
            <w:webHidden/>
          </w:rPr>
          <w:t>3</w:t>
        </w:r>
        <w:r w:rsidR="004C65C5">
          <w:rPr>
            <w:webHidden/>
          </w:rPr>
          <w:fldChar w:fldCharType="end"/>
        </w:r>
      </w:hyperlink>
    </w:p>
    <w:p w14:paraId="12123305" w14:textId="26BC3A3D" w:rsidR="004C65C5" w:rsidRDefault="0069100F">
      <w:pPr>
        <w:pStyle w:val="TOC1"/>
        <w:rPr>
          <w:rFonts w:asciiTheme="minorHAnsi" w:eastAsiaTheme="minorEastAsia" w:hAnsiTheme="minorHAnsi" w:cstheme="minorBidi"/>
          <w:b w:val="0"/>
          <w:bCs w:val="0"/>
          <w:color w:val="auto"/>
          <w:sz w:val="22"/>
          <w:lang w:eastAsia="en-AU"/>
        </w:rPr>
      </w:pPr>
      <w:hyperlink w:anchor="_Toc115363687" w:history="1">
        <w:r w:rsidR="004C65C5" w:rsidRPr="009A7CD7">
          <w:rPr>
            <w:rStyle w:val="Hyperlink"/>
          </w:rPr>
          <w:t>Purpose</w:t>
        </w:r>
        <w:r w:rsidR="004C65C5">
          <w:rPr>
            <w:webHidden/>
          </w:rPr>
          <w:tab/>
        </w:r>
        <w:r w:rsidR="004C65C5">
          <w:rPr>
            <w:webHidden/>
          </w:rPr>
          <w:fldChar w:fldCharType="begin"/>
        </w:r>
        <w:r w:rsidR="004C65C5">
          <w:rPr>
            <w:webHidden/>
          </w:rPr>
          <w:instrText xml:space="preserve"> PAGEREF _Toc115363687 \h </w:instrText>
        </w:r>
        <w:r w:rsidR="004C65C5">
          <w:rPr>
            <w:webHidden/>
          </w:rPr>
        </w:r>
        <w:r w:rsidR="004C65C5">
          <w:rPr>
            <w:webHidden/>
          </w:rPr>
          <w:fldChar w:fldCharType="separate"/>
        </w:r>
        <w:r w:rsidR="004C65C5">
          <w:rPr>
            <w:webHidden/>
          </w:rPr>
          <w:t>4</w:t>
        </w:r>
        <w:r w:rsidR="004C65C5">
          <w:rPr>
            <w:webHidden/>
          </w:rPr>
          <w:fldChar w:fldCharType="end"/>
        </w:r>
      </w:hyperlink>
    </w:p>
    <w:p w14:paraId="5F3BF93E" w14:textId="351A9A0B" w:rsidR="004C65C5" w:rsidRDefault="0069100F">
      <w:pPr>
        <w:pStyle w:val="TOC1"/>
        <w:rPr>
          <w:rFonts w:asciiTheme="minorHAnsi" w:eastAsiaTheme="minorEastAsia" w:hAnsiTheme="minorHAnsi" w:cstheme="minorBidi"/>
          <w:b w:val="0"/>
          <w:bCs w:val="0"/>
          <w:color w:val="auto"/>
          <w:sz w:val="22"/>
          <w:lang w:eastAsia="en-AU"/>
        </w:rPr>
      </w:pPr>
      <w:hyperlink w:anchor="_Toc115363688" w:history="1">
        <w:r w:rsidR="004C65C5" w:rsidRPr="009A7CD7">
          <w:rPr>
            <w:rStyle w:val="Hyperlink"/>
          </w:rPr>
          <w:t>Key Findings and Priorities</w:t>
        </w:r>
        <w:r w:rsidR="004C65C5">
          <w:rPr>
            <w:webHidden/>
          </w:rPr>
          <w:tab/>
        </w:r>
        <w:r w:rsidR="004C65C5">
          <w:rPr>
            <w:webHidden/>
          </w:rPr>
          <w:fldChar w:fldCharType="begin"/>
        </w:r>
        <w:r w:rsidR="004C65C5">
          <w:rPr>
            <w:webHidden/>
          </w:rPr>
          <w:instrText xml:space="preserve"> PAGEREF _Toc115363688 \h </w:instrText>
        </w:r>
        <w:r w:rsidR="004C65C5">
          <w:rPr>
            <w:webHidden/>
          </w:rPr>
        </w:r>
        <w:r w:rsidR="004C65C5">
          <w:rPr>
            <w:webHidden/>
          </w:rPr>
          <w:fldChar w:fldCharType="separate"/>
        </w:r>
        <w:r w:rsidR="004C65C5">
          <w:rPr>
            <w:webHidden/>
          </w:rPr>
          <w:t>5</w:t>
        </w:r>
        <w:r w:rsidR="004C65C5">
          <w:rPr>
            <w:webHidden/>
          </w:rPr>
          <w:fldChar w:fldCharType="end"/>
        </w:r>
      </w:hyperlink>
    </w:p>
    <w:p w14:paraId="1AD5A2BB" w14:textId="4D0BDD48" w:rsidR="004C65C5" w:rsidRDefault="0069100F">
      <w:pPr>
        <w:pStyle w:val="TOC1"/>
        <w:rPr>
          <w:rFonts w:asciiTheme="minorHAnsi" w:eastAsiaTheme="minorEastAsia" w:hAnsiTheme="minorHAnsi" w:cstheme="minorBidi"/>
          <w:b w:val="0"/>
          <w:bCs w:val="0"/>
          <w:color w:val="auto"/>
          <w:sz w:val="22"/>
          <w:lang w:eastAsia="en-AU"/>
        </w:rPr>
      </w:pPr>
      <w:hyperlink w:anchor="_Toc115363689" w:history="1">
        <w:r w:rsidR="004C65C5" w:rsidRPr="009A7CD7">
          <w:rPr>
            <w:rStyle w:val="Hyperlink"/>
          </w:rPr>
          <w:t>Industry Reference Committee</w:t>
        </w:r>
        <w:r w:rsidR="004C65C5">
          <w:rPr>
            <w:webHidden/>
          </w:rPr>
          <w:tab/>
        </w:r>
        <w:r w:rsidR="004C65C5">
          <w:rPr>
            <w:webHidden/>
          </w:rPr>
          <w:fldChar w:fldCharType="begin"/>
        </w:r>
        <w:r w:rsidR="004C65C5">
          <w:rPr>
            <w:webHidden/>
          </w:rPr>
          <w:instrText xml:space="preserve"> PAGEREF _Toc115363689 \h </w:instrText>
        </w:r>
        <w:r w:rsidR="004C65C5">
          <w:rPr>
            <w:webHidden/>
          </w:rPr>
        </w:r>
        <w:r w:rsidR="004C65C5">
          <w:rPr>
            <w:webHidden/>
          </w:rPr>
          <w:fldChar w:fldCharType="separate"/>
        </w:r>
        <w:r w:rsidR="004C65C5">
          <w:rPr>
            <w:webHidden/>
          </w:rPr>
          <w:t>6</w:t>
        </w:r>
        <w:r w:rsidR="004C65C5">
          <w:rPr>
            <w:webHidden/>
          </w:rPr>
          <w:fldChar w:fldCharType="end"/>
        </w:r>
      </w:hyperlink>
    </w:p>
    <w:p w14:paraId="10D0A64B" w14:textId="4901C5D7" w:rsidR="004C65C5" w:rsidRDefault="0069100F">
      <w:pPr>
        <w:pStyle w:val="TOC1"/>
        <w:rPr>
          <w:rFonts w:asciiTheme="minorHAnsi" w:eastAsiaTheme="minorEastAsia" w:hAnsiTheme="minorHAnsi" w:cstheme="minorBidi"/>
          <w:b w:val="0"/>
          <w:bCs w:val="0"/>
          <w:color w:val="auto"/>
          <w:sz w:val="22"/>
          <w:lang w:eastAsia="en-AU"/>
        </w:rPr>
      </w:pPr>
      <w:hyperlink w:anchor="_Toc115363690" w:history="1">
        <w:r w:rsidR="004C65C5" w:rsidRPr="009A7CD7">
          <w:rPr>
            <w:rStyle w:val="Hyperlink"/>
          </w:rPr>
          <w:t>Method</w:t>
        </w:r>
        <w:r w:rsidR="004C65C5">
          <w:rPr>
            <w:webHidden/>
          </w:rPr>
          <w:tab/>
        </w:r>
        <w:r w:rsidR="004C65C5">
          <w:rPr>
            <w:webHidden/>
          </w:rPr>
          <w:fldChar w:fldCharType="begin"/>
        </w:r>
        <w:r w:rsidR="004C65C5">
          <w:rPr>
            <w:webHidden/>
          </w:rPr>
          <w:instrText xml:space="preserve"> PAGEREF _Toc115363690 \h </w:instrText>
        </w:r>
        <w:r w:rsidR="004C65C5">
          <w:rPr>
            <w:webHidden/>
          </w:rPr>
        </w:r>
        <w:r w:rsidR="004C65C5">
          <w:rPr>
            <w:webHidden/>
          </w:rPr>
          <w:fldChar w:fldCharType="separate"/>
        </w:r>
        <w:r w:rsidR="004C65C5">
          <w:rPr>
            <w:webHidden/>
          </w:rPr>
          <w:t>6</w:t>
        </w:r>
        <w:r w:rsidR="004C65C5">
          <w:rPr>
            <w:webHidden/>
          </w:rPr>
          <w:fldChar w:fldCharType="end"/>
        </w:r>
      </w:hyperlink>
    </w:p>
    <w:p w14:paraId="2F88543A" w14:textId="65301DF5" w:rsidR="004C65C5" w:rsidRDefault="0069100F">
      <w:pPr>
        <w:pStyle w:val="TOC1"/>
        <w:rPr>
          <w:rFonts w:asciiTheme="minorHAnsi" w:eastAsiaTheme="minorEastAsia" w:hAnsiTheme="minorHAnsi" w:cstheme="minorBidi"/>
          <w:b w:val="0"/>
          <w:bCs w:val="0"/>
          <w:color w:val="auto"/>
          <w:sz w:val="22"/>
          <w:lang w:eastAsia="en-AU"/>
        </w:rPr>
      </w:pPr>
      <w:hyperlink w:anchor="_Toc115363691" w:history="1">
        <w:r w:rsidR="004C65C5" w:rsidRPr="009A7CD7">
          <w:rPr>
            <w:rStyle w:val="Hyperlink"/>
          </w:rPr>
          <w:t>Environmental Analysis</w:t>
        </w:r>
        <w:r w:rsidR="004C65C5">
          <w:rPr>
            <w:webHidden/>
          </w:rPr>
          <w:tab/>
        </w:r>
        <w:r w:rsidR="004C65C5">
          <w:rPr>
            <w:webHidden/>
          </w:rPr>
          <w:fldChar w:fldCharType="begin"/>
        </w:r>
        <w:r w:rsidR="004C65C5">
          <w:rPr>
            <w:webHidden/>
          </w:rPr>
          <w:instrText xml:space="preserve"> PAGEREF _Toc115363691 \h </w:instrText>
        </w:r>
        <w:r w:rsidR="004C65C5">
          <w:rPr>
            <w:webHidden/>
          </w:rPr>
        </w:r>
        <w:r w:rsidR="004C65C5">
          <w:rPr>
            <w:webHidden/>
          </w:rPr>
          <w:fldChar w:fldCharType="separate"/>
        </w:r>
        <w:r w:rsidR="004C65C5">
          <w:rPr>
            <w:webHidden/>
          </w:rPr>
          <w:t>7</w:t>
        </w:r>
        <w:r w:rsidR="004C65C5">
          <w:rPr>
            <w:webHidden/>
          </w:rPr>
          <w:fldChar w:fldCharType="end"/>
        </w:r>
      </w:hyperlink>
    </w:p>
    <w:p w14:paraId="1C140BC4" w14:textId="5471E9C3" w:rsidR="004C65C5" w:rsidRDefault="0069100F">
      <w:pPr>
        <w:pStyle w:val="TOC2"/>
        <w:rPr>
          <w:rFonts w:asciiTheme="minorHAnsi" w:eastAsiaTheme="minorEastAsia" w:hAnsiTheme="minorHAnsi" w:cstheme="minorBidi"/>
          <w:b w:val="0"/>
          <w:bCs w:val="0"/>
          <w:color w:val="auto"/>
          <w:sz w:val="22"/>
          <w:lang w:eastAsia="en-AU"/>
        </w:rPr>
      </w:pPr>
      <w:hyperlink w:anchor="_Toc115363692" w:history="1">
        <w:r w:rsidR="004C65C5" w:rsidRPr="009A7CD7">
          <w:rPr>
            <w:rStyle w:val="Hyperlink"/>
          </w:rPr>
          <w:t>Whole of Value Chain Approach</w:t>
        </w:r>
        <w:r w:rsidR="004C65C5">
          <w:rPr>
            <w:webHidden/>
          </w:rPr>
          <w:tab/>
        </w:r>
        <w:r w:rsidR="004C65C5">
          <w:rPr>
            <w:webHidden/>
          </w:rPr>
          <w:fldChar w:fldCharType="begin"/>
        </w:r>
        <w:r w:rsidR="004C65C5">
          <w:rPr>
            <w:webHidden/>
          </w:rPr>
          <w:instrText xml:space="preserve"> PAGEREF _Toc115363692 \h </w:instrText>
        </w:r>
        <w:r w:rsidR="004C65C5">
          <w:rPr>
            <w:webHidden/>
          </w:rPr>
        </w:r>
        <w:r w:rsidR="004C65C5">
          <w:rPr>
            <w:webHidden/>
          </w:rPr>
          <w:fldChar w:fldCharType="separate"/>
        </w:r>
        <w:r w:rsidR="004C65C5">
          <w:rPr>
            <w:webHidden/>
          </w:rPr>
          <w:t>7</w:t>
        </w:r>
        <w:r w:rsidR="004C65C5">
          <w:rPr>
            <w:webHidden/>
          </w:rPr>
          <w:fldChar w:fldCharType="end"/>
        </w:r>
      </w:hyperlink>
    </w:p>
    <w:p w14:paraId="481417BF" w14:textId="0077AFB9" w:rsidR="004C65C5" w:rsidRDefault="0069100F">
      <w:pPr>
        <w:pStyle w:val="TOC3"/>
        <w:tabs>
          <w:tab w:val="right" w:leader="dot" w:pos="9350"/>
        </w:tabs>
        <w:rPr>
          <w:rFonts w:asciiTheme="minorHAnsi" w:eastAsiaTheme="minorEastAsia" w:hAnsiTheme="minorHAnsi" w:cstheme="minorBidi"/>
          <w:noProof/>
          <w:color w:val="auto"/>
          <w:sz w:val="22"/>
          <w:lang w:eastAsia="en-AU"/>
        </w:rPr>
      </w:pPr>
      <w:hyperlink w:anchor="_Toc115363693" w:history="1">
        <w:r w:rsidR="004C65C5" w:rsidRPr="009A7CD7">
          <w:rPr>
            <w:rStyle w:val="Hyperlink"/>
            <w:noProof/>
          </w:rPr>
          <w:t>Traceability, provenance and blockchain</w:t>
        </w:r>
        <w:r w:rsidR="004C65C5">
          <w:rPr>
            <w:noProof/>
            <w:webHidden/>
          </w:rPr>
          <w:tab/>
        </w:r>
        <w:r w:rsidR="004C65C5">
          <w:rPr>
            <w:noProof/>
            <w:webHidden/>
          </w:rPr>
          <w:fldChar w:fldCharType="begin"/>
        </w:r>
        <w:r w:rsidR="004C65C5">
          <w:rPr>
            <w:noProof/>
            <w:webHidden/>
          </w:rPr>
          <w:instrText xml:space="preserve"> PAGEREF _Toc115363693 \h </w:instrText>
        </w:r>
        <w:r w:rsidR="004C65C5">
          <w:rPr>
            <w:noProof/>
            <w:webHidden/>
          </w:rPr>
        </w:r>
        <w:r w:rsidR="004C65C5">
          <w:rPr>
            <w:noProof/>
            <w:webHidden/>
          </w:rPr>
          <w:fldChar w:fldCharType="separate"/>
        </w:r>
        <w:r w:rsidR="004C65C5">
          <w:rPr>
            <w:noProof/>
            <w:webHidden/>
          </w:rPr>
          <w:t>8</w:t>
        </w:r>
        <w:r w:rsidR="004C65C5">
          <w:rPr>
            <w:noProof/>
            <w:webHidden/>
          </w:rPr>
          <w:fldChar w:fldCharType="end"/>
        </w:r>
      </w:hyperlink>
    </w:p>
    <w:p w14:paraId="45DFE768" w14:textId="72303B56" w:rsidR="004C65C5" w:rsidRDefault="0069100F">
      <w:pPr>
        <w:pStyle w:val="TOC3"/>
        <w:tabs>
          <w:tab w:val="right" w:leader="dot" w:pos="9350"/>
        </w:tabs>
        <w:rPr>
          <w:rFonts w:asciiTheme="minorHAnsi" w:eastAsiaTheme="minorEastAsia" w:hAnsiTheme="minorHAnsi" w:cstheme="minorBidi"/>
          <w:noProof/>
          <w:color w:val="auto"/>
          <w:sz w:val="22"/>
          <w:lang w:eastAsia="en-AU"/>
        </w:rPr>
      </w:pPr>
      <w:hyperlink w:anchor="_Toc115363694" w:history="1">
        <w:r w:rsidR="004C65C5" w:rsidRPr="009A7CD7">
          <w:rPr>
            <w:rStyle w:val="Hyperlink"/>
            <w:noProof/>
          </w:rPr>
          <w:t>Current crossovers and divisions of the value chain in the VET system</w:t>
        </w:r>
        <w:r w:rsidR="004C65C5">
          <w:rPr>
            <w:noProof/>
            <w:webHidden/>
          </w:rPr>
          <w:tab/>
        </w:r>
        <w:r w:rsidR="004C65C5">
          <w:rPr>
            <w:noProof/>
            <w:webHidden/>
          </w:rPr>
          <w:fldChar w:fldCharType="begin"/>
        </w:r>
        <w:r w:rsidR="004C65C5">
          <w:rPr>
            <w:noProof/>
            <w:webHidden/>
          </w:rPr>
          <w:instrText xml:space="preserve"> PAGEREF _Toc115363694 \h </w:instrText>
        </w:r>
        <w:r w:rsidR="004C65C5">
          <w:rPr>
            <w:noProof/>
            <w:webHidden/>
          </w:rPr>
        </w:r>
        <w:r w:rsidR="004C65C5">
          <w:rPr>
            <w:noProof/>
            <w:webHidden/>
          </w:rPr>
          <w:fldChar w:fldCharType="separate"/>
        </w:r>
        <w:r w:rsidR="004C65C5">
          <w:rPr>
            <w:noProof/>
            <w:webHidden/>
          </w:rPr>
          <w:t>9</w:t>
        </w:r>
        <w:r w:rsidR="004C65C5">
          <w:rPr>
            <w:noProof/>
            <w:webHidden/>
          </w:rPr>
          <w:fldChar w:fldCharType="end"/>
        </w:r>
      </w:hyperlink>
    </w:p>
    <w:p w14:paraId="39BD65A3" w14:textId="4BACEAE5" w:rsidR="004C65C5" w:rsidRDefault="0069100F">
      <w:pPr>
        <w:pStyle w:val="TOC2"/>
        <w:rPr>
          <w:rFonts w:asciiTheme="minorHAnsi" w:eastAsiaTheme="minorEastAsia" w:hAnsiTheme="minorHAnsi" w:cstheme="minorBidi"/>
          <w:b w:val="0"/>
          <w:bCs w:val="0"/>
          <w:color w:val="auto"/>
          <w:sz w:val="22"/>
          <w:lang w:eastAsia="en-AU"/>
        </w:rPr>
      </w:pPr>
      <w:hyperlink w:anchor="_Toc115363695" w:history="1">
        <w:r w:rsidR="004C65C5" w:rsidRPr="009A7CD7">
          <w:rPr>
            <w:rStyle w:val="Hyperlink"/>
          </w:rPr>
          <w:t>Biosecurity, Invasive Species and Pest Control</w:t>
        </w:r>
        <w:r w:rsidR="004C65C5">
          <w:rPr>
            <w:webHidden/>
          </w:rPr>
          <w:tab/>
        </w:r>
        <w:r w:rsidR="004C65C5">
          <w:rPr>
            <w:webHidden/>
          </w:rPr>
          <w:fldChar w:fldCharType="begin"/>
        </w:r>
        <w:r w:rsidR="004C65C5">
          <w:rPr>
            <w:webHidden/>
          </w:rPr>
          <w:instrText xml:space="preserve"> PAGEREF _Toc115363695 \h </w:instrText>
        </w:r>
        <w:r w:rsidR="004C65C5">
          <w:rPr>
            <w:webHidden/>
          </w:rPr>
        </w:r>
        <w:r w:rsidR="004C65C5">
          <w:rPr>
            <w:webHidden/>
          </w:rPr>
          <w:fldChar w:fldCharType="separate"/>
        </w:r>
        <w:r w:rsidR="004C65C5">
          <w:rPr>
            <w:webHidden/>
          </w:rPr>
          <w:t>10</w:t>
        </w:r>
        <w:r w:rsidR="004C65C5">
          <w:rPr>
            <w:webHidden/>
          </w:rPr>
          <w:fldChar w:fldCharType="end"/>
        </w:r>
      </w:hyperlink>
    </w:p>
    <w:p w14:paraId="31F0E46D" w14:textId="2D7B7C13" w:rsidR="004C65C5" w:rsidRDefault="0069100F">
      <w:pPr>
        <w:pStyle w:val="TOC2"/>
        <w:rPr>
          <w:rFonts w:asciiTheme="minorHAnsi" w:eastAsiaTheme="minorEastAsia" w:hAnsiTheme="minorHAnsi" w:cstheme="minorBidi"/>
          <w:b w:val="0"/>
          <w:bCs w:val="0"/>
          <w:color w:val="auto"/>
          <w:sz w:val="22"/>
          <w:lang w:eastAsia="en-AU"/>
        </w:rPr>
      </w:pPr>
      <w:hyperlink w:anchor="_Toc115363696" w:history="1">
        <w:r w:rsidR="004C65C5" w:rsidRPr="009A7CD7">
          <w:rPr>
            <w:rStyle w:val="Hyperlink"/>
          </w:rPr>
          <w:t>Sustaining Plants and Animals</w:t>
        </w:r>
        <w:r w:rsidR="004C65C5">
          <w:rPr>
            <w:webHidden/>
          </w:rPr>
          <w:tab/>
        </w:r>
        <w:r w:rsidR="004C65C5">
          <w:rPr>
            <w:webHidden/>
          </w:rPr>
          <w:fldChar w:fldCharType="begin"/>
        </w:r>
        <w:r w:rsidR="004C65C5">
          <w:rPr>
            <w:webHidden/>
          </w:rPr>
          <w:instrText xml:space="preserve"> PAGEREF _Toc115363696 \h </w:instrText>
        </w:r>
        <w:r w:rsidR="004C65C5">
          <w:rPr>
            <w:webHidden/>
          </w:rPr>
        </w:r>
        <w:r w:rsidR="004C65C5">
          <w:rPr>
            <w:webHidden/>
          </w:rPr>
          <w:fldChar w:fldCharType="separate"/>
        </w:r>
        <w:r w:rsidR="004C65C5">
          <w:rPr>
            <w:webHidden/>
          </w:rPr>
          <w:t>11</w:t>
        </w:r>
        <w:r w:rsidR="004C65C5">
          <w:rPr>
            <w:webHidden/>
          </w:rPr>
          <w:fldChar w:fldCharType="end"/>
        </w:r>
      </w:hyperlink>
    </w:p>
    <w:p w14:paraId="0177E4A5" w14:textId="1053EEB0" w:rsidR="004C65C5" w:rsidRDefault="0069100F">
      <w:pPr>
        <w:pStyle w:val="TOC2"/>
        <w:rPr>
          <w:rFonts w:asciiTheme="minorHAnsi" w:eastAsiaTheme="minorEastAsia" w:hAnsiTheme="minorHAnsi" w:cstheme="minorBidi"/>
          <w:b w:val="0"/>
          <w:bCs w:val="0"/>
          <w:color w:val="auto"/>
          <w:sz w:val="22"/>
          <w:lang w:eastAsia="en-AU"/>
        </w:rPr>
      </w:pPr>
      <w:hyperlink w:anchor="_Toc115363697" w:history="1">
        <w:r w:rsidR="004C65C5" w:rsidRPr="009A7CD7">
          <w:rPr>
            <w:rStyle w:val="Hyperlink"/>
          </w:rPr>
          <w:t>Ecosystem and Biodiversity Management, and Climate Adaptation</w:t>
        </w:r>
        <w:r w:rsidR="004C65C5">
          <w:rPr>
            <w:webHidden/>
          </w:rPr>
          <w:tab/>
        </w:r>
        <w:r w:rsidR="004C65C5">
          <w:rPr>
            <w:webHidden/>
          </w:rPr>
          <w:fldChar w:fldCharType="begin"/>
        </w:r>
        <w:r w:rsidR="004C65C5">
          <w:rPr>
            <w:webHidden/>
          </w:rPr>
          <w:instrText xml:space="preserve"> PAGEREF _Toc115363697 \h </w:instrText>
        </w:r>
        <w:r w:rsidR="004C65C5">
          <w:rPr>
            <w:webHidden/>
          </w:rPr>
        </w:r>
        <w:r w:rsidR="004C65C5">
          <w:rPr>
            <w:webHidden/>
          </w:rPr>
          <w:fldChar w:fldCharType="separate"/>
        </w:r>
        <w:r w:rsidR="004C65C5">
          <w:rPr>
            <w:webHidden/>
          </w:rPr>
          <w:t>11</w:t>
        </w:r>
        <w:r w:rsidR="004C65C5">
          <w:rPr>
            <w:webHidden/>
          </w:rPr>
          <w:fldChar w:fldCharType="end"/>
        </w:r>
      </w:hyperlink>
    </w:p>
    <w:p w14:paraId="6F8B4682" w14:textId="30F58F5D" w:rsidR="004C65C5" w:rsidRDefault="0069100F">
      <w:pPr>
        <w:pStyle w:val="TOC2"/>
        <w:rPr>
          <w:rFonts w:asciiTheme="minorHAnsi" w:eastAsiaTheme="minorEastAsia" w:hAnsiTheme="minorHAnsi" w:cstheme="minorBidi"/>
          <w:b w:val="0"/>
          <w:bCs w:val="0"/>
          <w:color w:val="auto"/>
          <w:sz w:val="22"/>
          <w:lang w:eastAsia="en-AU"/>
        </w:rPr>
      </w:pPr>
      <w:hyperlink w:anchor="_Toc115363698" w:history="1">
        <w:r w:rsidR="004C65C5" w:rsidRPr="009A7CD7">
          <w:rPr>
            <w:rStyle w:val="Hyperlink"/>
          </w:rPr>
          <w:t>Digital &amp; Automation Practices</w:t>
        </w:r>
        <w:r w:rsidR="004C65C5">
          <w:rPr>
            <w:webHidden/>
          </w:rPr>
          <w:tab/>
        </w:r>
        <w:r w:rsidR="004C65C5">
          <w:rPr>
            <w:webHidden/>
          </w:rPr>
          <w:fldChar w:fldCharType="begin"/>
        </w:r>
        <w:r w:rsidR="004C65C5">
          <w:rPr>
            <w:webHidden/>
          </w:rPr>
          <w:instrText xml:space="preserve"> PAGEREF _Toc115363698 \h </w:instrText>
        </w:r>
        <w:r w:rsidR="004C65C5">
          <w:rPr>
            <w:webHidden/>
          </w:rPr>
        </w:r>
        <w:r w:rsidR="004C65C5">
          <w:rPr>
            <w:webHidden/>
          </w:rPr>
          <w:fldChar w:fldCharType="separate"/>
        </w:r>
        <w:r w:rsidR="004C65C5">
          <w:rPr>
            <w:webHidden/>
          </w:rPr>
          <w:t>13</w:t>
        </w:r>
        <w:r w:rsidR="004C65C5">
          <w:rPr>
            <w:webHidden/>
          </w:rPr>
          <w:fldChar w:fldCharType="end"/>
        </w:r>
      </w:hyperlink>
    </w:p>
    <w:p w14:paraId="4D1CEEC0" w14:textId="3AA2A41D" w:rsidR="004C65C5" w:rsidRDefault="0069100F">
      <w:pPr>
        <w:pStyle w:val="TOC2"/>
        <w:rPr>
          <w:rFonts w:asciiTheme="minorHAnsi" w:eastAsiaTheme="minorEastAsia" w:hAnsiTheme="minorHAnsi" w:cstheme="minorBidi"/>
          <w:b w:val="0"/>
          <w:bCs w:val="0"/>
          <w:color w:val="auto"/>
          <w:sz w:val="22"/>
          <w:lang w:eastAsia="en-AU"/>
        </w:rPr>
      </w:pPr>
      <w:hyperlink w:anchor="_Toc115363699" w:history="1">
        <w:r w:rsidR="004C65C5" w:rsidRPr="009A7CD7">
          <w:rPr>
            <w:rStyle w:val="Hyperlink"/>
          </w:rPr>
          <w:t>Food Safety QA &amp; Regulatory Compliance</w:t>
        </w:r>
        <w:r w:rsidR="004C65C5">
          <w:rPr>
            <w:webHidden/>
          </w:rPr>
          <w:tab/>
        </w:r>
        <w:r w:rsidR="004C65C5">
          <w:rPr>
            <w:webHidden/>
          </w:rPr>
          <w:fldChar w:fldCharType="begin"/>
        </w:r>
        <w:r w:rsidR="004C65C5">
          <w:rPr>
            <w:webHidden/>
          </w:rPr>
          <w:instrText xml:space="preserve"> PAGEREF _Toc115363699 \h </w:instrText>
        </w:r>
        <w:r w:rsidR="004C65C5">
          <w:rPr>
            <w:webHidden/>
          </w:rPr>
        </w:r>
        <w:r w:rsidR="004C65C5">
          <w:rPr>
            <w:webHidden/>
          </w:rPr>
          <w:fldChar w:fldCharType="separate"/>
        </w:r>
        <w:r w:rsidR="004C65C5">
          <w:rPr>
            <w:webHidden/>
          </w:rPr>
          <w:t>14</w:t>
        </w:r>
        <w:r w:rsidR="004C65C5">
          <w:rPr>
            <w:webHidden/>
          </w:rPr>
          <w:fldChar w:fldCharType="end"/>
        </w:r>
      </w:hyperlink>
    </w:p>
    <w:p w14:paraId="6A0014FD" w14:textId="1A6D0EFC" w:rsidR="004C65C5" w:rsidRDefault="0069100F">
      <w:pPr>
        <w:pStyle w:val="TOC3"/>
        <w:tabs>
          <w:tab w:val="right" w:leader="dot" w:pos="9350"/>
        </w:tabs>
        <w:rPr>
          <w:rFonts w:asciiTheme="minorHAnsi" w:eastAsiaTheme="minorEastAsia" w:hAnsiTheme="minorHAnsi" w:cstheme="minorBidi"/>
          <w:noProof/>
          <w:color w:val="auto"/>
          <w:sz w:val="22"/>
          <w:lang w:eastAsia="en-AU"/>
        </w:rPr>
      </w:pPr>
      <w:hyperlink w:anchor="_Toc115363700" w:history="1">
        <w:r w:rsidR="004C65C5" w:rsidRPr="009A7CD7">
          <w:rPr>
            <w:rStyle w:val="Hyperlink"/>
            <w:noProof/>
          </w:rPr>
          <w:t>Food safety regulations, codes of practice and guidelines</w:t>
        </w:r>
        <w:r w:rsidR="004C65C5">
          <w:rPr>
            <w:noProof/>
            <w:webHidden/>
          </w:rPr>
          <w:tab/>
        </w:r>
        <w:r w:rsidR="004C65C5">
          <w:rPr>
            <w:noProof/>
            <w:webHidden/>
          </w:rPr>
          <w:fldChar w:fldCharType="begin"/>
        </w:r>
        <w:r w:rsidR="004C65C5">
          <w:rPr>
            <w:noProof/>
            <w:webHidden/>
          </w:rPr>
          <w:instrText xml:space="preserve"> PAGEREF _Toc115363700 \h </w:instrText>
        </w:r>
        <w:r w:rsidR="004C65C5">
          <w:rPr>
            <w:noProof/>
            <w:webHidden/>
          </w:rPr>
        </w:r>
        <w:r w:rsidR="004C65C5">
          <w:rPr>
            <w:noProof/>
            <w:webHidden/>
          </w:rPr>
          <w:fldChar w:fldCharType="separate"/>
        </w:r>
        <w:r w:rsidR="004C65C5">
          <w:rPr>
            <w:noProof/>
            <w:webHidden/>
          </w:rPr>
          <w:t>14</w:t>
        </w:r>
        <w:r w:rsidR="004C65C5">
          <w:rPr>
            <w:noProof/>
            <w:webHidden/>
          </w:rPr>
          <w:fldChar w:fldCharType="end"/>
        </w:r>
      </w:hyperlink>
    </w:p>
    <w:p w14:paraId="20321490" w14:textId="7926EC08" w:rsidR="004C65C5" w:rsidRDefault="0069100F">
      <w:pPr>
        <w:pStyle w:val="TOC3"/>
        <w:tabs>
          <w:tab w:val="right" w:leader="dot" w:pos="9350"/>
        </w:tabs>
        <w:rPr>
          <w:rFonts w:asciiTheme="minorHAnsi" w:eastAsiaTheme="minorEastAsia" w:hAnsiTheme="minorHAnsi" w:cstheme="minorBidi"/>
          <w:noProof/>
          <w:color w:val="auto"/>
          <w:sz w:val="22"/>
          <w:lang w:eastAsia="en-AU"/>
        </w:rPr>
      </w:pPr>
      <w:hyperlink w:anchor="_Toc115363701" w:history="1">
        <w:r w:rsidR="004C65C5" w:rsidRPr="009A7CD7">
          <w:rPr>
            <w:rStyle w:val="Hyperlink"/>
            <w:noProof/>
          </w:rPr>
          <w:t>Regulated occupations</w:t>
        </w:r>
        <w:r w:rsidR="004C65C5">
          <w:rPr>
            <w:noProof/>
            <w:webHidden/>
          </w:rPr>
          <w:tab/>
        </w:r>
        <w:r w:rsidR="004C65C5">
          <w:rPr>
            <w:noProof/>
            <w:webHidden/>
          </w:rPr>
          <w:fldChar w:fldCharType="begin"/>
        </w:r>
        <w:r w:rsidR="004C65C5">
          <w:rPr>
            <w:noProof/>
            <w:webHidden/>
          </w:rPr>
          <w:instrText xml:space="preserve"> PAGEREF _Toc115363701 \h </w:instrText>
        </w:r>
        <w:r w:rsidR="004C65C5">
          <w:rPr>
            <w:noProof/>
            <w:webHidden/>
          </w:rPr>
        </w:r>
        <w:r w:rsidR="004C65C5">
          <w:rPr>
            <w:noProof/>
            <w:webHidden/>
          </w:rPr>
          <w:fldChar w:fldCharType="separate"/>
        </w:r>
        <w:r w:rsidR="004C65C5">
          <w:rPr>
            <w:noProof/>
            <w:webHidden/>
          </w:rPr>
          <w:t>15</w:t>
        </w:r>
        <w:r w:rsidR="004C65C5">
          <w:rPr>
            <w:noProof/>
            <w:webHidden/>
          </w:rPr>
          <w:fldChar w:fldCharType="end"/>
        </w:r>
      </w:hyperlink>
    </w:p>
    <w:p w14:paraId="3C4BAC4F" w14:textId="1C85B7EC" w:rsidR="004C65C5" w:rsidRDefault="0069100F">
      <w:pPr>
        <w:pStyle w:val="TOC2"/>
        <w:rPr>
          <w:rFonts w:asciiTheme="minorHAnsi" w:eastAsiaTheme="minorEastAsia" w:hAnsiTheme="minorHAnsi" w:cstheme="minorBidi"/>
          <w:b w:val="0"/>
          <w:bCs w:val="0"/>
          <w:color w:val="auto"/>
          <w:sz w:val="22"/>
          <w:lang w:eastAsia="en-AU"/>
        </w:rPr>
      </w:pPr>
      <w:hyperlink w:anchor="_Toc115363702" w:history="1">
        <w:r w:rsidR="004C65C5" w:rsidRPr="009A7CD7">
          <w:rPr>
            <w:rStyle w:val="Hyperlink"/>
          </w:rPr>
          <w:t>Workplace and Value Chain Risk Management and Safety Culture</w:t>
        </w:r>
        <w:r w:rsidR="004C65C5">
          <w:rPr>
            <w:webHidden/>
          </w:rPr>
          <w:tab/>
        </w:r>
        <w:r w:rsidR="004C65C5">
          <w:rPr>
            <w:webHidden/>
          </w:rPr>
          <w:fldChar w:fldCharType="begin"/>
        </w:r>
        <w:r w:rsidR="004C65C5">
          <w:rPr>
            <w:webHidden/>
          </w:rPr>
          <w:instrText xml:space="preserve"> PAGEREF _Toc115363702 \h </w:instrText>
        </w:r>
        <w:r w:rsidR="004C65C5">
          <w:rPr>
            <w:webHidden/>
          </w:rPr>
        </w:r>
        <w:r w:rsidR="004C65C5">
          <w:rPr>
            <w:webHidden/>
          </w:rPr>
          <w:fldChar w:fldCharType="separate"/>
        </w:r>
        <w:r w:rsidR="004C65C5">
          <w:rPr>
            <w:webHidden/>
          </w:rPr>
          <w:t>16</w:t>
        </w:r>
        <w:r w:rsidR="004C65C5">
          <w:rPr>
            <w:webHidden/>
          </w:rPr>
          <w:fldChar w:fldCharType="end"/>
        </w:r>
      </w:hyperlink>
    </w:p>
    <w:p w14:paraId="3E1E1DED" w14:textId="0BE4C751" w:rsidR="004C65C5" w:rsidRDefault="0069100F">
      <w:pPr>
        <w:pStyle w:val="TOC3"/>
        <w:tabs>
          <w:tab w:val="right" w:leader="dot" w:pos="9350"/>
        </w:tabs>
        <w:rPr>
          <w:rFonts w:asciiTheme="minorHAnsi" w:eastAsiaTheme="minorEastAsia" w:hAnsiTheme="minorHAnsi" w:cstheme="minorBidi"/>
          <w:noProof/>
          <w:color w:val="auto"/>
          <w:sz w:val="22"/>
          <w:lang w:eastAsia="en-AU"/>
        </w:rPr>
      </w:pPr>
      <w:hyperlink w:anchor="_Toc115363703" w:history="1">
        <w:r w:rsidR="004C65C5" w:rsidRPr="009A7CD7">
          <w:rPr>
            <w:rStyle w:val="Hyperlink"/>
            <w:noProof/>
          </w:rPr>
          <w:t>Workplace safety</w:t>
        </w:r>
        <w:r w:rsidR="004C65C5">
          <w:rPr>
            <w:noProof/>
            <w:webHidden/>
          </w:rPr>
          <w:tab/>
        </w:r>
        <w:r w:rsidR="004C65C5">
          <w:rPr>
            <w:noProof/>
            <w:webHidden/>
          </w:rPr>
          <w:fldChar w:fldCharType="begin"/>
        </w:r>
        <w:r w:rsidR="004C65C5">
          <w:rPr>
            <w:noProof/>
            <w:webHidden/>
          </w:rPr>
          <w:instrText xml:space="preserve"> PAGEREF _Toc115363703 \h </w:instrText>
        </w:r>
        <w:r w:rsidR="004C65C5">
          <w:rPr>
            <w:noProof/>
            <w:webHidden/>
          </w:rPr>
        </w:r>
        <w:r w:rsidR="004C65C5">
          <w:rPr>
            <w:noProof/>
            <w:webHidden/>
          </w:rPr>
          <w:fldChar w:fldCharType="separate"/>
        </w:r>
        <w:r w:rsidR="004C65C5">
          <w:rPr>
            <w:noProof/>
            <w:webHidden/>
          </w:rPr>
          <w:t>16</w:t>
        </w:r>
        <w:r w:rsidR="004C65C5">
          <w:rPr>
            <w:noProof/>
            <w:webHidden/>
          </w:rPr>
          <w:fldChar w:fldCharType="end"/>
        </w:r>
      </w:hyperlink>
    </w:p>
    <w:p w14:paraId="246EF506" w14:textId="45DB62F2" w:rsidR="004C65C5" w:rsidRDefault="0069100F">
      <w:pPr>
        <w:pStyle w:val="TOC1"/>
        <w:rPr>
          <w:rFonts w:asciiTheme="minorHAnsi" w:eastAsiaTheme="minorEastAsia" w:hAnsiTheme="minorHAnsi" w:cstheme="minorBidi"/>
          <w:b w:val="0"/>
          <w:bCs w:val="0"/>
          <w:color w:val="auto"/>
          <w:sz w:val="22"/>
          <w:lang w:eastAsia="en-AU"/>
        </w:rPr>
      </w:pPr>
      <w:hyperlink w:anchor="_Toc115363704" w:history="1">
        <w:r w:rsidR="004C65C5" w:rsidRPr="009A7CD7">
          <w:rPr>
            <w:rStyle w:val="Hyperlink"/>
          </w:rPr>
          <w:t>Industry Summary and Trends</w:t>
        </w:r>
        <w:r w:rsidR="004C65C5">
          <w:rPr>
            <w:webHidden/>
          </w:rPr>
          <w:tab/>
        </w:r>
        <w:r w:rsidR="004C65C5">
          <w:rPr>
            <w:webHidden/>
          </w:rPr>
          <w:fldChar w:fldCharType="begin"/>
        </w:r>
        <w:r w:rsidR="004C65C5">
          <w:rPr>
            <w:webHidden/>
          </w:rPr>
          <w:instrText xml:space="preserve"> PAGEREF _Toc115363704 \h </w:instrText>
        </w:r>
        <w:r w:rsidR="004C65C5">
          <w:rPr>
            <w:webHidden/>
          </w:rPr>
        </w:r>
        <w:r w:rsidR="004C65C5">
          <w:rPr>
            <w:webHidden/>
          </w:rPr>
          <w:fldChar w:fldCharType="separate"/>
        </w:r>
        <w:r w:rsidR="004C65C5">
          <w:rPr>
            <w:webHidden/>
          </w:rPr>
          <w:t>18</w:t>
        </w:r>
        <w:r w:rsidR="004C65C5">
          <w:rPr>
            <w:webHidden/>
          </w:rPr>
          <w:fldChar w:fldCharType="end"/>
        </w:r>
      </w:hyperlink>
    </w:p>
    <w:p w14:paraId="4FBABE8C" w14:textId="1D658020" w:rsidR="004C65C5" w:rsidRDefault="0069100F">
      <w:pPr>
        <w:pStyle w:val="TOC2"/>
        <w:rPr>
          <w:rFonts w:asciiTheme="minorHAnsi" w:eastAsiaTheme="minorEastAsia" w:hAnsiTheme="minorHAnsi" w:cstheme="minorBidi"/>
          <w:b w:val="0"/>
          <w:bCs w:val="0"/>
          <w:color w:val="auto"/>
          <w:sz w:val="22"/>
          <w:lang w:eastAsia="en-AU"/>
        </w:rPr>
      </w:pPr>
      <w:hyperlink w:anchor="_Toc115363705" w:history="1">
        <w:r w:rsidR="004C65C5" w:rsidRPr="009A7CD7">
          <w:rPr>
            <w:rStyle w:val="Hyperlink"/>
          </w:rPr>
          <w:t>Workforce, Business &amp; Market Summary</w:t>
        </w:r>
        <w:r w:rsidR="004C65C5">
          <w:rPr>
            <w:webHidden/>
          </w:rPr>
          <w:tab/>
        </w:r>
        <w:r w:rsidR="004C65C5">
          <w:rPr>
            <w:webHidden/>
          </w:rPr>
          <w:fldChar w:fldCharType="begin"/>
        </w:r>
        <w:r w:rsidR="004C65C5">
          <w:rPr>
            <w:webHidden/>
          </w:rPr>
          <w:instrText xml:space="preserve"> PAGEREF _Toc115363705 \h </w:instrText>
        </w:r>
        <w:r w:rsidR="004C65C5">
          <w:rPr>
            <w:webHidden/>
          </w:rPr>
        </w:r>
        <w:r w:rsidR="004C65C5">
          <w:rPr>
            <w:webHidden/>
          </w:rPr>
          <w:fldChar w:fldCharType="separate"/>
        </w:r>
        <w:r w:rsidR="004C65C5">
          <w:rPr>
            <w:webHidden/>
          </w:rPr>
          <w:t>18</w:t>
        </w:r>
        <w:r w:rsidR="004C65C5">
          <w:rPr>
            <w:webHidden/>
          </w:rPr>
          <w:fldChar w:fldCharType="end"/>
        </w:r>
      </w:hyperlink>
    </w:p>
    <w:p w14:paraId="4A2CD2C1" w14:textId="5D4CB963" w:rsidR="004C65C5" w:rsidRDefault="0069100F">
      <w:pPr>
        <w:pStyle w:val="TOC3"/>
        <w:tabs>
          <w:tab w:val="right" w:leader="dot" w:pos="9350"/>
        </w:tabs>
        <w:rPr>
          <w:rFonts w:asciiTheme="minorHAnsi" w:eastAsiaTheme="minorEastAsia" w:hAnsiTheme="minorHAnsi" w:cstheme="minorBidi"/>
          <w:noProof/>
          <w:color w:val="auto"/>
          <w:sz w:val="22"/>
          <w:lang w:eastAsia="en-AU"/>
        </w:rPr>
      </w:pPr>
      <w:hyperlink w:anchor="_Toc115363706" w:history="1">
        <w:r w:rsidR="004C65C5" w:rsidRPr="009A7CD7">
          <w:rPr>
            <w:rStyle w:val="Hyperlink"/>
            <w:noProof/>
          </w:rPr>
          <w:t>Shortage of skilled workers</w:t>
        </w:r>
        <w:r w:rsidR="004C65C5">
          <w:rPr>
            <w:noProof/>
            <w:webHidden/>
          </w:rPr>
          <w:tab/>
        </w:r>
        <w:r w:rsidR="004C65C5">
          <w:rPr>
            <w:noProof/>
            <w:webHidden/>
          </w:rPr>
          <w:fldChar w:fldCharType="begin"/>
        </w:r>
        <w:r w:rsidR="004C65C5">
          <w:rPr>
            <w:noProof/>
            <w:webHidden/>
          </w:rPr>
          <w:instrText xml:space="preserve"> PAGEREF _Toc115363706 \h </w:instrText>
        </w:r>
        <w:r w:rsidR="004C65C5">
          <w:rPr>
            <w:noProof/>
            <w:webHidden/>
          </w:rPr>
        </w:r>
        <w:r w:rsidR="004C65C5">
          <w:rPr>
            <w:noProof/>
            <w:webHidden/>
          </w:rPr>
          <w:fldChar w:fldCharType="separate"/>
        </w:r>
        <w:r w:rsidR="004C65C5">
          <w:rPr>
            <w:noProof/>
            <w:webHidden/>
          </w:rPr>
          <w:t>19</w:t>
        </w:r>
        <w:r w:rsidR="004C65C5">
          <w:rPr>
            <w:noProof/>
            <w:webHidden/>
          </w:rPr>
          <w:fldChar w:fldCharType="end"/>
        </w:r>
      </w:hyperlink>
    </w:p>
    <w:p w14:paraId="349E2469" w14:textId="513B367B" w:rsidR="004C65C5" w:rsidRDefault="0069100F">
      <w:pPr>
        <w:pStyle w:val="TOC2"/>
        <w:rPr>
          <w:rFonts w:asciiTheme="minorHAnsi" w:eastAsiaTheme="minorEastAsia" w:hAnsiTheme="minorHAnsi" w:cstheme="minorBidi"/>
          <w:b w:val="0"/>
          <w:bCs w:val="0"/>
          <w:color w:val="auto"/>
          <w:sz w:val="22"/>
          <w:lang w:eastAsia="en-AU"/>
        </w:rPr>
      </w:pPr>
      <w:hyperlink w:anchor="_Toc115363707" w:history="1">
        <w:r w:rsidR="004C65C5" w:rsidRPr="009A7CD7">
          <w:rPr>
            <w:rStyle w:val="Hyperlink"/>
          </w:rPr>
          <w:t>Training Summary</w:t>
        </w:r>
        <w:r w:rsidR="004C65C5">
          <w:rPr>
            <w:webHidden/>
          </w:rPr>
          <w:tab/>
        </w:r>
        <w:r w:rsidR="004C65C5">
          <w:rPr>
            <w:webHidden/>
          </w:rPr>
          <w:fldChar w:fldCharType="begin"/>
        </w:r>
        <w:r w:rsidR="004C65C5">
          <w:rPr>
            <w:webHidden/>
          </w:rPr>
          <w:instrText xml:space="preserve"> PAGEREF _Toc115363707 \h </w:instrText>
        </w:r>
        <w:r w:rsidR="004C65C5">
          <w:rPr>
            <w:webHidden/>
          </w:rPr>
        </w:r>
        <w:r w:rsidR="004C65C5">
          <w:rPr>
            <w:webHidden/>
          </w:rPr>
          <w:fldChar w:fldCharType="separate"/>
        </w:r>
        <w:r w:rsidR="004C65C5">
          <w:rPr>
            <w:webHidden/>
          </w:rPr>
          <w:t>21</w:t>
        </w:r>
        <w:r w:rsidR="004C65C5">
          <w:rPr>
            <w:webHidden/>
          </w:rPr>
          <w:fldChar w:fldCharType="end"/>
        </w:r>
      </w:hyperlink>
    </w:p>
    <w:p w14:paraId="31E79202" w14:textId="2373D949" w:rsidR="004C65C5" w:rsidRDefault="0069100F">
      <w:pPr>
        <w:pStyle w:val="TOC3"/>
        <w:tabs>
          <w:tab w:val="right" w:leader="dot" w:pos="9350"/>
        </w:tabs>
        <w:rPr>
          <w:rFonts w:asciiTheme="minorHAnsi" w:eastAsiaTheme="minorEastAsia" w:hAnsiTheme="minorHAnsi" w:cstheme="minorBidi"/>
          <w:noProof/>
          <w:color w:val="auto"/>
          <w:sz w:val="22"/>
          <w:lang w:eastAsia="en-AU"/>
        </w:rPr>
      </w:pPr>
      <w:hyperlink w:anchor="_Toc115363708" w:history="1">
        <w:r w:rsidR="004C65C5" w:rsidRPr="009A7CD7">
          <w:rPr>
            <w:rStyle w:val="Hyperlink"/>
            <w:noProof/>
          </w:rPr>
          <w:t>AMP Qualifications</w:t>
        </w:r>
        <w:r w:rsidR="004C65C5">
          <w:rPr>
            <w:noProof/>
            <w:webHidden/>
          </w:rPr>
          <w:tab/>
        </w:r>
        <w:r w:rsidR="004C65C5">
          <w:rPr>
            <w:noProof/>
            <w:webHidden/>
          </w:rPr>
          <w:fldChar w:fldCharType="begin"/>
        </w:r>
        <w:r w:rsidR="004C65C5">
          <w:rPr>
            <w:noProof/>
            <w:webHidden/>
          </w:rPr>
          <w:instrText xml:space="preserve"> PAGEREF _Toc115363708 \h </w:instrText>
        </w:r>
        <w:r w:rsidR="004C65C5">
          <w:rPr>
            <w:noProof/>
            <w:webHidden/>
          </w:rPr>
        </w:r>
        <w:r w:rsidR="004C65C5">
          <w:rPr>
            <w:noProof/>
            <w:webHidden/>
          </w:rPr>
          <w:fldChar w:fldCharType="separate"/>
        </w:r>
        <w:r w:rsidR="004C65C5">
          <w:rPr>
            <w:noProof/>
            <w:webHidden/>
          </w:rPr>
          <w:t>21</w:t>
        </w:r>
        <w:r w:rsidR="004C65C5">
          <w:rPr>
            <w:noProof/>
            <w:webHidden/>
          </w:rPr>
          <w:fldChar w:fldCharType="end"/>
        </w:r>
      </w:hyperlink>
    </w:p>
    <w:p w14:paraId="1BD9239B" w14:textId="04589FEE" w:rsidR="004C65C5" w:rsidRDefault="0069100F">
      <w:pPr>
        <w:pStyle w:val="TOC3"/>
        <w:tabs>
          <w:tab w:val="right" w:leader="dot" w:pos="9350"/>
        </w:tabs>
        <w:rPr>
          <w:rFonts w:asciiTheme="minorHAnsi" w:eastAsiaTheme="minorEastAsia" w:hAnsiTheme="minorHAnsi" w:cstheme="minorBidi"/>
          <w:noProof/>
          <w:color w:val="auto"/>
          <w:sz w:val="22"/>
          <w:lang w:eastAsia="en-AU"/>
        </w:rPr>
      </w:pPr>
      <w:hyperlink w:anchor="_Toc115363709" w:history="1">
        <w:r w:rsidR="004C65C5" w:rsidRPr="009A7CD7">
          <w:rPr>
            <w:rStyle w:val="Hyperlink"/>
            <w:noProof/>
          </w:rPr>
          <w:t>AMP Units of Competency</w:t>
        </w:r>
        <w:r w:rsidR="004C65C5">
          <w:rPr>
            <w:noProof/>
            <w:webHidden/>
          </w:rPr>
          <w:tab/>
        </w:r>
        <w:r w:rsidR="004C65C5">
          <w:rPr>
            <w:noProof/>
            <w:webHidden/>
          </w:rPr>
          <w:fldChar w:fldCharType="begin"/>
        </w:r>
        <w:r w:rsidR="004C65C5">
          <w:rPr>
            <w:noProof/>
            <w:webHidden/>
          </w:rPr>
          <w:instrText xml:space="preserve"> PAGEREF _Toc115363709 \h </w:instrText>
        </w:r>
        <w:r w:rsidR="004C65C5">
          <w:rPr>
            <w:noProof/>
            <w:webHidden/>
          </w:rPr>
        </w:r>
        <w:r w:rsidR="004C65C5">
          <w:rPr>
            <w:noProof/>
            <w:webHidden/>
          </w:rPr>
          <w:fldChar w:fldCharType="separate"/>
        </w:r>
        <w:r w:rsidR="004C65C5">
          <w:rPr>
            <w:noProof/>
            <w:webHidden/>
          </w:rPr>
          <w:t>21</w:t>
        </w:r>
        <w:r w:rsidR="004C65C5">
          <w:rPr>
            <w:noProof/>
            <w:webHidden/>
          </w:rPr>
          <w:fldChar w:fldCharType="end"/>
        </w:r>
      </w:hyperlink>
    </w:p>
    <w:p w14:paraId="7437B2B8" w14:textId="42FD8565" w:rsidR="004C65C5" w:rsidRDefault="0069100F">
      <w:pPr>
        <w:pStyle w:val="TOC3"/>
        <w:tabs>
          <w:tab w:val="right" w:leader="dot" w:pos="9350"/>
        </w:tabs>
        <w:rPr>
          <w:rFonts w:asciiTheme="minorHAnsi" w:eastAsiaTheme="minorEastAsia" w:hAnsiTheme="minorHAnsi" w:cstheme="minorBidi"/>
          <w:noProof/>
          <w:color w:val="auto"/>
          <w:sz w:val="22"/>
          <w:lang w:eastAsia="en-AU"/>
        </w:rPr>
      </w:pPr>
      <w:hyperlink w:anchor="_Toc115363710" w:history="1">
        <w:r w:rsidR="004C65C5" w:rsidRPr="009A7CD7">
          <w:rPr>
            <w:rStyle w:val="Hyperlink"/>
            <w:noProof/>
          </w:rPr>
          <w:t>Employers’ use and views of VET and other forms of training</w:t>
        </w:r>
        <w:r w:rsidR="004C65C5">
          <w:rPr>
            <w:noProof/>
            <w:webHidden/>
          </w:rPr>
          <w:tab/>
        </w:r>
        <w:r w:rsidR="004C65C5">
          <w:rPr>
            <w:noProof/>
            <w:webHidden/>
          </w:rPr>
          <w:fldChar w:fldCharType="begin"/>
        </w:r>
        <w:r w:rsidR="004C65C5">
          <w:rPr>
            <w:noProof/>
            <w:webHidden/>
          </w:rPr>
          <w:instrText xml:space="preserve"> PAGEREF _Toc115363710 \h </w:instrText>
        </w:r>
        <w:r w:rsidR="004C65C5">
          <w:rPr>
            <w:noProof/>
            <w:webHidden/>
          </w:rPr>
        </w:r>
        <w:r w:rsidR="004C65C5">
          <w:rPr>
            <w:noProof/>
            <w:webHidden/>
          </w:rPr>
          <w:fldChar w:fldCharType="separate"/>
        </w:r>
        <w:r w:rsidR="004C65C5">
          <w:rPr>
            <w:noProof/>
            <w:webHidden/>
          </w:rPr>
          <w:t>22</w:t>
        </w:r>
        <w:r w:rsidR="004C65C5">
          <w:rPr>
            <w:noProof/>
            <w:webHidden/>
          </w:rPr>
          <w:fldChar w:fldCharType="end"/>
        </w:r>
      </w:hyperlink>
    </w:p>
    <w:p w14:paraId="17D02CA4" w14:textId="2AA5E4A2" w:rsidR="004C65C5" w:rsidRDefault="0069100F">
      <w:pPr>
        <w:pStyle w:val="TOC2"/>
        <w:rPr>
          <w:rFonts w:asciiTheme="minorHAnsi" w:eastAsiaTheme="minorEastAsia" w:hAnsiTheme="minorHAnsi" w:cstheme="minorBidi"/>
          <w:b w:val="0"/>
          <w:bCs w:val="0"/>
          <w:color w:val="auto"/>
          <w:sz w:val="22"/>
          <w:lang w:eastAsia="en-AU"/>
        </w:rPr>
      </w:pPr>
      <w:hyperlink w:anchor="_Toc115363711" w:history="1">
        <w:r w:rsidR="004C65C5" w:rsidRPr="009A7CD7">
          <w:rPr>
            <w:rStyle w:val="Hyperlink"/>
          </w:rPr>
          <w:t>Regional, Rural &amp; Remote Summary</w:t>
        </w:r>
        <w:r w:rsidR="004C65C5">
          <w:rPr>
            <w:webHidden/>
          </w:rPr>
          <w:tab/>
        </w:r>
        <w:r w:rsidR="004C65C5">
          <w:rPr>
            <w:webHidden/>
          </w:rPr>
          <w:fldChar w:fldCharType="begin"/>
        </w:r>
        <w:r w:rsidR="004C65C5">
          <w:rPr>
            <w:webHidden/>
          </w:rPr>
          <w:instrText xml:space="preserve"> PAGEREF _Toc115363711 \h </w:instrText>
        </w:r>
        <w:r w:rsidR="004C65C5">
          <w:rPr>
            <w:webHidden/>
          </w:rPr>
        </w:r>
        <w:r w:rsidR="004C65C5">
          <w:rPr>
            <w:webHidden/>
          </w:rPr>
          <w:fldChar w:fldCharType="separate"/>
        </w:r>
        <w:r w:rsidR="004C65C5">
          <w:rPr>
            <w:webHidden/>
          </w:rPr>
          <w:t>23</w:t>
        </w:r>
        <w:r w:rsidR="004C65C5">
          <w:rPr>
            <w:webHidden/>
          </w:rPr>
          <w:fldChar w:fldCharType="end"/>
        </w:r>
      </w:hyperlink>
    </w:p>
    <w:p w14:paraId="284D435B" w14:textId="0CBDBF5E" w:rsidR="004C65C5" w:rsidRDefault="0069100F">
      <w:pPr>
        <w:pStyle w:val="TOC2"/>
        <w:rPr>
          <w:rFonts w:asciiTheme="minorHAnsi" w:eastAsiaTheme="minorEastAsia" w:hAnsiTheme="minorHAnsi" w:cstheme="minorBidi"/>
          <w:b w:val="0"/>
          <w:bCs w:val="0"/>
          <w:color w:val="auto"/>
          <w:sz w:val="22"/>
          <w:lang w:eastAsia="en-AU"/>
        </w:rPr>
      </w:pPr>
      <w:hyperlink w:anchor="_Toc115363712" w:history="1">
        <w:r w:rsidR="004C65C5" w:rsidRPr="009A7CD7">
          <w:rPr>
            <w:rStyle w:val="Hyperlink"/>
          </w:rPr>
          <w:t>Aboriginal &amp; Torres Strait Islander Peoples Summary</w:t>
        </w:r>
        <w:r w:rsidR="004C65C5">
          <w:rPr>
            <w:webHidden/>
          </w:rPr>
          <w:tab/>
        </w:r>
        <w:r w:rsidR="004C65C5">
          <w:rPr>
            <w:webHidden/>
          </w:rPr>
          <w:fldChar w:fldCharType="begin"/>
        </w:r>
        <w:r w:rsidR="004C65C5">
          <w:rPr>
            <w:webHidden/>
          </w:rPr>
          <w:instrText xml:space="preserve"> PAGEREF _Toc115363712 \h </w:instrText>
        </w:r>
        <w:r w:rsidR="004C65C5">
          <w:rPr>
            <w:webHidden/>
          </w:rPr>
        </w:r>
        <w:r w:rsidR="004C65C5">
          <w:rPr>
            <w:webHidden/>
          </w:rPr>
          <w:fldChar w:fldCharType="separate"/>
        </w:r>
        <w:r w:rsidR="004C65C5">
          <w:rPr>
            <w:webHidden/>
          </w:rPr>
          <w:t>24</w:t>
        </w:r>
        <w:r w:rsidR="004C65C5">
          <w:rPr>
            <w:webHidden/>
          </w:rPr>
          <w:fldChar w:fldCharType="end"/>
        </w:r>
      </w:hyperlink>
    </w:p>
    <w:p w14:paraId="2F1367DC" w14:textId="371DC13E" w:rsidR="002B5DF6" w:rsidRPr="002B5DF6" w:rsidRDefault="00256600" w:rsidP="002B5DF6">
      <w:r>
        <w:fldChar w:fldCharType="end"/>
      </w:r>
    </w:p>
    <w:p w14:paraId="2A6367C9" w14:textId="6F748926" w:rsidR="003E38A9" w:rsidRDefault="002B5DF6">
      <w:pPr>
        <w:widowControl/>
        <w:autoSpaceDE/>
        <w:autoSpaceDN/>
        <w:spacing w:after="160" w:line="259" w:lineRule="auto"/>
        <w:jc w:val="left"/>
        <w:rPr>
          <w:rFonts w:ascii="Century Gothic" w:eastAsiaTheme="majorEastAsia" w:hAnsi="Century Gothic" w:cstheme="majorBidi"/>
          <w:color w:val="00843D"/>
          <w:sz w:val="36"/>
          <w:szCs w:val="26"/>
        </w:rPr>
      </w:pPr>
      <w:r>
        <w:br w:type="page"/>
      </w:r>
    </w:p>
    <w:p w14:paraId="146F5312" w14:textId="77777777" w:rsidR="004B2693" w:rsidRPr="00D35804" w:rsidRDefault="004B2693" w:rsidP="004B2693">
      <w:pPr>
        <w:pStyle w:val="Heading2"/>
      </w:pPr>
      <w:bookmarkStart w:id="0" w:name="_Toc98430769"/>
      <w:bookmarkStart w:id="1" w:name="_Toc112844723"/>
      <w:bookmarkStart w:id="2" w:name="_Toc115363685"/>
      <w:r w:rsidRPr="00D35804">
        <w:lastRenderedPageBreak/>
        <w:t>Acknowledgement of the work of IRCs</w:t>
      </w:r>
      <w:bookmarkEnd w:id="0"/>
      <w:bookmarkEnd w:id="1"/>
      <w:bookmarkEnd w:id="2"/>
    </w:p>
    <w:p w14:paraId="0DD28B4B" w14:textId="77777777" w:rsidR="004B2693" w:rsidRPr="00D35804" w:rsidRDefault="004B2693" w:rsidP="004B2693">
      <w:pPr>
        <w:spacing w:before="60"/>
      </w:pPr>
      <w:r w:rsidRPr="00D35804">
        <w:t xml:space="preserve">We acknowledge the work of the members of Industry Reference Committee </w:t>
      </w:r>
      <w:r>
        <w:t xml:space="preserve">(IRC) </w:t>
      </w:r>
      <w:r w:rsidRPr="00D35804">
        <w:t>in the preparation of this report and continuing phases of th</w:t>
      </w:r>
      <w:r>
        <w:t>e</w:t>
      </w:r>
      <w:r w:rsidRPr="00D35804">
        <w:t xml:space="preserve"> project. Their voluntary participation and provision of intelligence</w:t>
      </w:r>
      <w:r>
        <w:t xml:space="preserve"> and</w:t>
      </w:r>
      <w:r w:rsidRPr="00D35804">
        <w:t xml:space="preserve"> data makes the compilation of this information possible. </w:t>
      </w:r>
    </w:p>
    <w:p w14:paraId="61368719" w14:textId="77777777" w:rsidR="004B2693" w:rsidRPr="00D35804" w:rsidRDefault="004B2693" w:rsidP="004B2693"/>
    <w:p w14:paraId="03E9B588" w14:textId="77777777" w:rsidR="004B2693" w:rsidRDefault="004B2693" w:rsidP="004B2693">
      <w:r>
        <w:t>T</w:t>
      </w:r>
      <w:r w:rsidRPr="00D35804">
        <w:t xml:space="preserve">his report has been developed from six years of contributions from the Industry Reference Committee. </w:t>
      </w:r>
    </w:p>
    <w:p w14:paraId="37E5E804" w14:textId="77777777" w:rsidR="004B2693" w:rsidRDefault="004B2693" w:rsidP="004B2693">
      <w:pPr>
        <w:spacing w:before="60"/>
      </w:pPr>
    </w:p>
    <w:p w14:paraId="0A02B17B" w14:textId="77777777" w:rsidR="004B2693" w:rsidRPr="00D35804" w:rsidRDefault="004B2693" w:rsidP="004B2693">
      <w:pPr>
        <w:spacing w:before="60"/>
      </w:pPr>
    </w:p>
    <w:p w14:paraId="245F6EDD" w14:textId="77777777" w:rsidR="004B2693" w:rsidRPr="00D35804" w:rsidRDefault="004B2693" w:rsidP="004B2693">
      <w:pPr>
        <w:pStyle w:val="Heading2"/>
      </w:pPr>
      <w:bookmarkStart w:id="3" w:name="_Toc98430770"/>
      <w:bookmarkStart w:id="4" w:name="_Toc112844724"/>
      <w:bookmarkStart w:id="5" w:name="_Toc115363686"/>
      <w:r w:rsidRPr="00D35804">
        <w:t>Acknowledgement of Country</w:t>
      </w:r>
      <w:bookmarkEnd w:id="3"/>
      <w:bookmarkEnd w:id="4"/>
      <w:bookmarkEnd w:id="5"/>
    </w:p>
    <w:p w14:paraId="7C2CCA15" w14:textId="7BA0A37C" w:rsidR="004B2693" w:rsidRPr="00D35804" w:rsidRDefault="004B2693" w:rsidP="004B2693">
      <w:r w:rsidRPr="00D35804">
        <w:t>Aboriginal and Torres Strait Islander people</w:t>
      </w:r>
      <w:r>
        <w:t>s</w:t>
      </w:r>
      <w:r w:rsidRPr="00D35804">
        <w:t xml:space="preserve"> have a proud and continuous connection to Australia's land and waters. We acknowledge the traditional owners and custodians, and the continuing connection of Aboriginal and Torres Strait Islander people</w:t>
      </w:r>
      <w:r>
        <w:t>s</w:t>
      </w:r>
      <w:r w:rsidRPr="00D35804">
        <w:t xml:space="preserve"> to the lands, waters and communities. We pay our respects to Elders and Leaders, </w:t>
      </w:r>
      <w:r w:rsidR="0069100F" w:rsidRPr="00D35804">
        <w:t>past</w:t>
      </w:r>
      <w:r w:rsidR="0069100F">
        <w:t xml:space="preserve"> and</w:t>
      </w:r>
      <w:r w:rsidR="0069100F" w:rsidRPr="00D35804">
        <w:t xml:space="preserve"> present</w:t>
      </w:r>
      <w:r w:rsidRPr="00D35804">
        <w:t>, and to all Aboriginal and Torres Strait Islander people</w:t>
      </w:r>
      <w:r>
        <w:t>s</w:t>
      </w:r>
      <w:r w:rsidRPr="00D35804">
        <w:t xml:space="preserve"> who have supported our work.</w:t>
      </w:r>
    </w:p>
    <w:p w14:paraId="5D517180" w14:textId="77777777" w:rsidR="004B2693" w:rsidRPr="00D35804" w:rsidRDefault="004B2693" w:rsidP="004B2693"/>
    <w:p w14:paraId="187C2EAB" w14:textId="77777777" w:rsidR="004B2693" w:rsidRPr="00D35804" w:rsidRDefault="004B2693" w:rsidP="004B2693">
      <w:r w:rsidRPr="00D35804">
        <w:t xml:space="preserve">We acknowledge the importance of learning from Aboriginal and Torres Strait Islander peoples’ unique history of land and ecosystem management, art, culture and society. Their connections are particularly important given our involvement in work directly connected to utilisation, care and stewardship of Australia's land, waters and ecosystems, and the animals, trees and plants that thrive across Australia. </w:t>
      </w:r>
    </w:p>
    <w:p w14:paraId="6F171090" w14:textId="77777777" w:rsidR="004B2693" w:rsidRPr="00D35804" w:rsidRDefault="004B2693" w:rsidP="004B2693"/>
    <w:p w14:paraId="62E3583A" w14:textId="77777777" w:rsidR="004B2693" w:rsidRPr="00D35804" w:rsidRDefault="004B2693" w:rsidP="004B2693">
      <w:r w:rsidRPr="00D35804">
        <w:t>The Industry Reference Committees and Skills Impact have been working to develop improved participation of Aboriginal and Torres Strait Islander enterprises, businesses, communities and people in our work. We will continue to work to develop strong, mutually beneficial relationships with Aboriginal and Torres Strait Islander partners who can help us deliver better outcomes for Aboriginal and Torres Strait Islander people</w:t>
      </w:r>
      <w:r>
        <w:t>s</w:t>
      </w:r>
      <w:r w:rsidRPr="00D35804">
        <w:t>, recognising their expertise in improving quality of life, employment opportunities and skills outcomes in their communities and for the whole of Australia.</w:t>
      </w:r>
    </w:p>
    <w:p w14:paraId="64BE7C66" w14:textId="41AB23E1" w:rsidR="004B2693" w:rsidRDefault="004B2693">
      <w:pPr>
        <w:widowControl/>
        <w:autoSpaceDE/>
        <w:autoSpaceDN/>
        <w:spacing w:after="160" w:line="259" w:lineRule="auto"/>
        <w:jc w:val="left"/>
        <w:rPr>
          <w:rFonts w:ascii="Century Gothic" w:eastAsiaTheme="majorEastAsia" w:hAnsi="Century Gothic" w:cstheme="majorBidi"/>
          <w:color w:val="00843D"/>
          <w:sz w:val="36"/>
          <w:szCs w:val="26"/>
        </w:rPr>
      </w:pPr>
      <w:r>
        <w:rPr>
          <w:rFonts w:ascii="Century Gothic" w:eastAsiaTheme="majorEastAsia" w:hAnsi="Century Gothic" w:cstheme="majorBidi"/>
          <w:color w:val="00843D"/>
          <w:sz w:val="36"/>
          <w:szCs w:val="26"/>
        </w:rPr>
        <w:br w:type="page"/>
      </w:r>
    </w:p>
    <w:p w14:paraId="256F8070" w14:textId="1FB2D35D" w:rsidR="002D461A" w:rsidRDefault="002D461A" w:rsidP="002D461A">
      <w:pPr>
        <w:pStyle w:val="Heading2"/>
      </w:pPr>
      <w:bookmarkStart w:id="6" w:name="_Toc115363687"/>
      <w:r>
        <w:lastRenderedPageBreak/>
        <w:t>Purpose</w:t>
      </w:r>
      <w:bookmarkEnd w:id="6"/>
    </w:p>
    <w:p w14:paraId="04DDCB51" w14:textId="4BCD91A1" w:rsidR="00D6677A" w:rsidRDefault="00F5277B" w:rsidP="00D6677A">
      <w:r w:rsidRPr="009371D6">
        <w:rPr>
          <w:szCs w:val="20"/>
        </w:rPr>
        <w:t>Skills Impact has prepared this Industr</w:t>
      </w:r>
      <w:r w:rsidR="006330AD" w:rsidRPr="009371D6">
        <w:rPr>
          <w:szCs w:val="20"/>
        </w:rPr>
        <w:t>y</w:t>
      </w:r>
      <w:r w:rsidRPr="009371D6">
        <w:rPr>
          <w:szCs w:val="20"/>
        </w:rPr>
        <w:t xml:space="preserve"> Skills Report a</w:t>
      </w:r>
      <w:r w:rsidR="00817AD8" w:rsidRPr="009371D6">
        <w:rPr>
          <w:szCs w:val="20"/>
        </w:rPr>
        <w:t xml:space="preserve">t the </w:t>
      </w:r>
      <w:r w:rsidR="00C30666" w:rsidRPr="009371D6">
        <w:rPr>
          <w:szCs w:val="20"/>
        </w:rPr>
        <w:t xml:space="preserve">request </w:t>
      </w:r>
      <w:r w:rsidR="00817AD8" w:rsidRPr="009371D6">
        <w:rPr>
          <w:szCs w:val="20"/>
        </w:rPr>
        <w:t xml:space="preserve">of </w:t>
      </w:r>
      <w:r w:rsidR="006330AD" w:rsidRPr="009371D6">
        <w:rPr>
          <w:szCs w:val="20"/>
        </w:rPr>
        <w:t xml:space="preserve">the </w:t>
      </w:r>
      <w:r w:rsidR="00C30666" w:rsidRPr="009371D6">
        <w:rPr>
          <w:szCs w:val="20"/>
        </w:rPr>
        <w:t xml:space="preserve">Australian Meat Processing </w:t>
      </w:r>
      <w:r w:rsidR="00817AD8" w:rsidRPr="009371D6">
        <w:rPr>
          <w:szCs w:val="20"/>
        </w:rPr>
        <w:t>Industry Reference Committee</w:t>
      </w:r>
      <w:r w:rsidRPr="009371D6">
        <w:rPr>
          <w:szCs w:val="20"/>
        </w:rPr>
        <w:t xml:space="preserve"> (IRC). </w:t>
      </w:r>
      <w:r w:rsidR="00D6677A">
        <w:t xml:space="preserve">It provides in-depth information about industry-specific skills and issues covered in the </w:t>
      </w:r>
      <w:r w:rsidR="00D6677A" w:rsidRPr="00025A1B">
        <w:rPr>
          <w:i/>
          <w:iCs/>
        </w:rPr>
        <w:t>Agribusiness, Food and Fibre Industries Skills Report</w:t>
      </w:r>
      <w:r w:rsidR="00D6677A">
        <w:t xml:space="preserve">. </w:t>
      </w:r>
    </w:p>
    <w:p w14:paraId="2858B7F7" w14:textId="77777777" w:rsidR="00D6677A" w:rsidRDefault="00D6677A" w:rsidP="00D6677A"/>
    <w:p w14:paraId="77497E9C" w14:textId="45EC5BF2" w:rsidR="00817AD8" w:rsidRPr="009371D6" w:rsidRDefault="00D6677A" w:rsidP="00817AD8">
      <w:pPr>
        <w:rPr>
          <w:szCs w:val="20"/>
        </w:rPr>
      </w:pPr>
      <w:r>
        <w:t>As one of nine industry-specific Skills Reports with matching structures, this document</w:t>
      </w:r>
      <w:r w:rsidR="00F5277B" w:rsidRPr="009371D6">
        <w:rPr>
          <w:szCs w:val="20"/>
        </w:rPr>
        <w:t xml:space="preserve"> </w:t>
      </w:r>
      <w:r w:rsidR="00817AD8" w:rsidRPr="009371D6">
        <w:rPr>
          <w:szCs w:val="20"/>
        </w:rPr>
        <w:t xml:space="preserve">is designed to </w:t>
      </w:r>
      <w:r w:rsidR="00F5277B" w:rsidRPr="009371D6">
        <w:rPr>
          <w:szCs w:val="20"/>
        </w:rPr>
        <w:t>assist</w:t>
      </w:r>
      <w:r w:rsidR="00817AD8" w:rsidRPr="009371D6">
        <w:rPr>
          <w:szCs w:val="20"/>
        </w:rPr>
        <w:t xml:space="preserve"> collaboration </w:t>
      </w:r>
      <w:r w:rsidR="00F5277B" w:rsidRPr="009371D6">
        <w:rPr>
          <w:szCs w:val="20"/>
        </w:rPr>
        <w:t xml:space="preserve">across </w:t>
      </w:r>
      <w:r w:rsidR="00817AD8" w:rsidRPr="009371D6">
        <w:rPr>
          <w:szCs w:val="20"/>
        </w:rPr>
        <w:t>industr</w:t>
      </w:r>
      <w:r w:rsidR="00F5277B" w:rsidRPr="009371D6">
        <w:rPr>
          <w:szCs w:val="20"/>
        </w:rPr>
        <w:t>ies</w:t>
      </w:r>
      <w:r w:rsidR="00817AD8" w:rsidRPr="009371D6">
        <w:rPr>
          <w:szCs w:val="20"/>
        </w:rPr>
        <w:t xml:space="preserve"> and </w:t>
      </w:r>
      <w:r w:rsidR="00F5277B" w:rsidRPr="009371D6">
        <w:rPr>
          <w:szCs w:val="20"/>
        </w:rPr>
        <w:t xml:space="preserve">the </w:t>
      </w:r>
      <w:r w:rsidR="00817AD8" w:rsidRPr="009371D6">
        <w:rPr>
          <w:szCs w:val="20"/>
        </w:rPr>
        <w:t xml:space="preserve">streamlining and reform of the Australian </w:t>
      </w:r>
      <w:r w:rsidR="00583AEE" w:rsidRPr="009371D6">
        <w:rPr>
          <w:szCs w:val="20"/>
        </w:rPr>
        <w:t>s</w:t>
      </w:r>
      <w:r w:rsidR="00817AD8" w:rsidRPr="009371D6">
        <w:rPr>
          <w:szCs w:val="20"/>
        </w:rPr>
        <w:t>kills and VET system. This may aid the implementation of the Skills Minister</w:t>
      </w:r>
      <w:r w:rsidR="00F5277B" w:rsidRPr="009371D6">
        <w:rPr>
          <w:szCs w:val="20"/>
        </w:rPr>
        <w:t>’</w:t>
      </w:r>
      <w:r w:rsidR="00817AD8" w:rsidRPr="009371D6">
        <w:rPr>
          <w:szCs w:val="20"/>
        </w:rPr>
        <w:t>s Priorities</w:t>
      </w:r>
      <w:r w:rsidR="00F5277B" w:rsidRPr="009371D6">
        <w:rPr>
          <w:szCs w:val="20"/>
        </w:rPr>
        <w:t xml:space="preserve"> by supporting</w:t>
      </w:r>
      <w:r w:rsidR="00817AD8" w:rsidRPr="009371D6">
        <w:rPr>
          <w:szCs w:val="20"/>
        </w:rPr>
        <w:t>:</w:t>
      </w:r>
    </w:p>
    <w:p w14:paraId="598B2C58" w14:textId="77777777" w:rsidR="00817AD8" w:rsidRPr="009371D6" w:rsidRDefault="00817AD8" w:rsidP="00817AD8">
      <w:pPr>
        <w:pStyle w:val="ListBullet"/>
        <w:numPr>
          <w:ilvl w:val="0"/>
          <w:numId w:val="1"/>
        </w:numPr>
        <w:ind w:left="714" w:hanging="357"/>
        <w:rPr>
          <w:szCs w:val="20"/>
        </w:rPr>
      </w:pPr>
      <w:r w:rsidRPr="009371D6">
        <w:rPr>
          <w:szCs w:val="20"/>
        </w:rPr>
        <w:t>Greater labour mobility through stronger recognition of cross-sector and transferable skills</w:t>
      </w:r>
    </w:p>
    <w:p w14:paraId="4B31079B" w14:textId="77777777" w:rsidR="00817AD8" w:rsidRPr="009371D6" w:rsidRDefault="00817AD8" w:rsidP="00817AD8">
      <w:pPr>
        <w:pStyle w:val="ListBullet"/>
        <w:numPr>
          <w:ilvl w:val="0"/>
          <w:numId w:val="1"/>
        </w:numPr>
        <w:ind w:left="714" w:hanging="357"/>
        <w:rPr>
          <w:szCs w:val="20"/>
        </w:rPr>
      </w:pPr>
      <w:r w:rsidRPr="009371D6">
        <w:rPr>
          <w:szCs w:val="20"/>
        </w:rPr>
        <w:t>Better use of industry and educator expertise to ensure better quality outcomes</w:t>
      </w:r>
    </w:p>
    <w:p w14:paraId="32FDA4C5" w14:textId="77777777" w:rsidR="00817AD8" w:rsidRPr="009371D6" w:rsidRDefault="00817AD8" w:rsidP="00817AD8">
      <w:pPr>
        <w:pStyle w:val="ListBullet"/>
        <w:numPr>
          <w:ilvl w:val="0"/>
          <w:numId w:val="1"/>
        </w:numPr>
        <w:ind w:left="714" w:hanging="357"/>
        <w:rPr>
          <w:szCs w:val="20"/>
        </w:rPr>
      </w:pPr>
      <w:r w:rsidRPr="009371D6">
        <w:rPr>
          <w:szCs w:val="20"/>
        </w:rPr>
        <w:t>Improved pathways advice to support lifelong learning and build peoples’ labour market resilience</w:t>
      </w:r>
    </w:p>
    <w:p w14:paraId="47A6DCC7" w14:textId="00BD1323" w:rsidR="00817AD8" w:rsidRPr="009371D6" w:rsidRDefault="00817AD8" w:rsidP="00817AD8">
      <w:pPr>
        <w:pStyle w:val="ListBullet2"/>
        <w:numPr>
          <w:ilvl w:val="0"/>
          <w:numId w:val="3"/>
        </w:numPr>
        <w:ind w:left="714" w:hanging="357"/>
        <w:rPr>
          <w:szCs w:val="20"/>
        </w:rPr>
      </w:pPr>
      <w:r w:rsidRPr="009371D6">
        <w:rPr>
          <w:szCs w:val="20"/>
        </w:rPr>
        <w:t>Australia’s capacity to grow, compete and thrive in the global economy, especially in context of the concurrent impacts of COVID-19, automation and digital transformation o</w:t>
      </w:r>
      <w:r w:rsidR="0054796D">
        <w:rPr>
          <w:szCs w:val="20"/>
        </w:rPr>
        <w:t>f</w:t>
      </w:r>
      <w:r w:rsidRPr="009371D6">
        <w:rPr>
          <w:szCs w:val="20"/>
        </w:rPr>
        <w:t xml:space="preserve"> the skills required for jobs now and into the future.</w:t>
      </w:r>
    </w:p>
    <w:p w14:paraId="7DC63E66" w14:textId="1F764255" w:rsidR="00817AD8" w:rsidRPr="009371D6" w:rsidRDefault="00817AD8" w:rsidP="00817AD8">
      <w:pPr>
        <w:rPr>
          <w:szCs w:val="20"/>
        </w:rPr>
      </w:pPr>
      <w:r w:rsidRPr="009371D6">
        <w:rPr>
          <w:szCs w:val="20"/>
        </w:rPr>
        <w:t>The IRC requested that this report be prepared to support improvements in the skills system, including</w:t>
      </w:r>
      <w:r w:rsidR="00583AEE" w:rsidRPr="009371D6">
        <w:rPr>
          <w:szCs w:val="20"/>
        </w:rPr>
        <w:t xml:space="preserve"> work on</w:t>
      </w:r>
      <w:r w:rsidRPr="009371D6">
        <w:rPr>
          <w:szCs w:val="20"/>
        </w:rPr>
        <w:t>:</w:t>
      </w:r>
    </w:p>
    <w:p w14:paraId="3954BBB4" w14:textId="5D638FB6" w:rsidR="00817AD8" w:rsidRPr="009371D6" w:rsidRDefault="00817AD8" w:rsidP="00817AD8">
      <w:pPr>
        <w:pStyle w:val="ListBullet"/>
        <w:numPr>
          <w:ilvl w:val="0"/>
          <w:numId w:val="1"/>
        </w:numPr>
        <w:ind w:left="714" w:hanging="357"/>
        <w:rPr>
          <w:szCs w:val="20"/>
        </w:rPr>
      </w:pPr>
      <w:r w:rsidRPr="009371D6">
        <w:rPr>
          <w:szCs w:val="20"/>
        </w:rPr>
        <w:t>Industry workforce planning and strategies to address workforce shortages</w:t>
      </w:r>
    </w:p>
    <w:p w14:paraId="02B1AA8E" w14:textId="77777777" w:rsidR="00817AD8" w:rsidRPr="009371D6" w:rsidRDefault="00817AD8" w:rsidP="00817AD8">
      <w:pPr>
        <w:pStyle w:val="ListBullet"/>
        <w:numPr>
          <w:ilvl w:val="0"/>
          <w:numId w:val="1"/>
        </w:numPr>
        <w:ind w:left="714" w:hanging="357"/>
        <w:rPr>
          <w:szCs w:val="20"/>
        </w:rPr>
      </w:pPr>
      <w:r w:rsidRPr="009371D6">
        <w:rPr>
          <w:szCs w:val="20"/>
        </w:rPr>
        <w:t>Documenting shared standards and regulations across industries to support end-to-end systems planning and avoid duplication</w:t>
      </w:r>
    </w:p>
    <w:p w14:paraId="5645BEEE" w14:textId="433D6898" w:rsidR="00817AD8" w:rsidRPr="009371D6" w:rsidRDefault="00583AEE" w:rsidP="00817AD8">
      <w:pPr>
        <w:pStyle w:val="ListBullet"/>
        <w:numPr>
          <w:ilvl w:val="0"/>
          <w:numId w:val="1"/>
        </w:numPr>
        <w:ind w:left="714" w:hanging="357"/>
        <w:rPr>
          <w:szCs w:val="20"/>
        </w:rPr>
      </w:pPr>
      <w:r w:rsidRPr="009371D6">
        <w:rPr>
          <w:szCs w:val="20"/>
        </w:rPr>
        <w:t>The p</w:t>
      </w:r>
      <w:r w:rsidR="00817AD8" w:rsidRPr="009371D6">
        <w:rPr>
          <w:szCs w:val="20"/>
        </w:rPr>
        <w:t xml:space="preserve">rovision of evidence, data and intelligence </w:t>
      </w:r>
      <w:r w:rsidRPr="009371D6">
        <w:rPr>
          <w:szCs w:val="20"/>
        </w:rPr>
        <w:t xml:space="preserve">to </w:t>
      </w:r>
      <w:r w:rsidR="00817AD8" w:rsidRPr="009371D6">
        <w:rPr>
          <w:szCs w:val="20"/>
        </w:rPr>
        <w:t xml:space="preserve">add value </w:t>
      </w:r>
      <w:r w:rsidRPr="009371D6">
        <w:rPr>
          <w:szCs w:val="20"/>
        </w:rPr>
        <w:t>for</w:t>
      </w:r>
      <w:r w:rsidR="00817AD8" w:rsidRPr="009371D6">
        <w:rPr>
          <w:szCs w:val="20"/>
        </w:rPr>
        <w:t xml:space="preserve"> industr</w:t>
      </w:r>
      <w:r w:rsidRPr="009371D6">
        <w:rPr>
          <w:szCs w:val="20"/>
        </w:rPr>
        <w:t>ies</w:t>
      </w:r>
      <w:r w:rsidR="00817AD8" w:rsidRPr="009371D6">
        <w:rPr>
          <w:szCs w:val="20"/>
        </w:rPr>
        <w:t xml:space="preserve"> beyond a narrow focus on training package development, and </w:t>
      </w:r>
      <w:r w:rsidRPr="009371D6">
        <w:rPr>
          <w:szCs w:val="20"/>
        </w:rPr>
        <w:t xml:space="preserve">to inform </w:t>
      </w:r>
      <w:r w:rsidR="00817AD8" w:rsidRPr="009371D6">
        <w:rPr>
          <w:szCs w:val="20"/>
        </w:rPr>
        <w:t>future Industry Cluster</w:t>
      </w:r>
      <w:r w:rsidRPr="009371D6">
        <w:rPr>
          <w:szCs w:val="20"/>
        </w:rPr>
        <w:t>s</w:t>
      </w:r>
      <w:r w:rsidR="00817AD8" w:rsidRPr="009371D6">
        <w:rPr>
          <w:szCs w:val="20"/>
        </w:rPr>
        <w:t xml:space="preserve"> or similar bod</w:t>
      </w:r>
      <w:r w:rsidRPr="009371D6">
        <w:rPr>
          <w:szCs w:val="20"/>
        </w:rPr>
        <w:t>ies</w:t>
      </w:r>
      <w:r w:rsidR="00817AD8" w:rsidRPr="009371D6">
        <w:rPr>
          <w:szCs w:val="20"/>
        </w:rPr>
        <w:t xml:space="preserve"> approved to </w:t>
      </w:r>
      <w:r w:rsidRPr="009371D6">
        <w:rPr>
          <w:szCs w:val="20"/>
        </w:rPr>
        <w:t>undertake</w:t>
      </w:r>
      <w:r w:rsidR="00817AD8" w:rsidRPr="009371D6">
        <w:rPr>
          <w:szCs w:val="20"/>
        </w:rPr>
        <w:t xml:space="preserve"> work</w:t>
      </w:r>
      <w:r w:rsidR="00A521B8" w:rsidRPr="009371D6">
        <w:rPr>
          <w:szCs w:val="20"/>
        </w:rPr>
        <w:t xml:space="preserve"> within the Australian </w:t>
      </w:r>
      <w:r w:rsidRPr="009371D6">
        <w:rPr>
          <w:szCs w:val="20"/>
        </w:rPr>
        <w:t>s</w:t>
      </w:r>
      <w:r w:rsidR="00A521B8" w:rsidRPr="009371D6">
        <w:rPr>
          <w:szCs w:val="20"/>
        </w:rPr>
        <w:t xml:space="preserve">kills and </w:t>
      </w:r>
      <w:r w:rsidRPr="009371D6">
        <w:rPr>
          <w:szCs w:val="20"/>
        </w:rPr>
        <w:t xml:space="preserve">VET </w:t>
      </w:r>
      <w:r w:rsidR="00A521B8" w:rsidRPr="009371D6">
        <w:rPr>
          <w:szCs w:val="20"/>
        </w:rPr>
        <w:t>system</w:t>
      </w:r>
      <w:r w:rsidR="00817AD8" w:rsidRPr="009371D6">
        <w:rPr>
          <w:szCs w:val="20"/>
        </w:rPr>
        <w:t xml:space="preserve"> </w:t>
      </w:r>
    </w:p>
    <w:p w14:paraId="7D41D260" w14:textId="3E6A595E" w:rsidR="00A521B8" w:rsidRPr="009371D6" w:rsidRDefault="00A521B8" w:rsidP="00A521B8">
      <w:pPr>
        <w:pStyle w:val="ListBullet"/>
        <w:numPr>
          <w:ilvl w:val="0"/>
          <w:numId w:val="1"/>
        </w:numPr>
        <w:ind w:left="714" w:hanging="357"/>
        <w:rPr>
          <w:szCs w:val="20"/>
        </w:rPr>
      </w:pPr>
      <w:r w:rsidRPr="009371D6">
        <w:rPr>
          <w:szCs w:val="20"/>
        </w:rPr>
        <w:t xml:space="preserve">Creating foundations for potential </w:t>
      </w:r>
      <w:r w:rsidR="00B31F2B" w:rsidRPr="009371D6">
        <w:rPr>
          <w:szCs w:val="20"/>
        </w:rPr>
        <w:t xml:space="preserve">qualification reforms with a </w:t>
      </w:r>
      <w:r w:rsidRPr="009371D6">
        <w:rPr>
          <w:szCs w:val="20"/>
        </w:rPr>
        <w:t>greater emphasis on skills families and portable skills</w:t>
      </w:r>
    </w:p>
    <w:p w14:paraId="1D60CA8F" w14:textId="10DA5948" w:rsidR="00817AD8" w:rsidRPr="009371D6" w:rsidRDefault="00817AD8" w:rsidP="006B1E43">
      <w:pPr>
        <w:pStyle w:val="ListBullet2"/>
        <w:rPr>
          <w:szCs w:val="20"/>
        </w:rPr>
      </w:pPr>
      <w:r w:rsidRPr="009371D6">
        <w:rPr>
          <w:szCs w:val="20"/>
        </w:rPr>
        <w:t xml:space="preserve">Identifying shared ‘skills domains’ to </w:t>
      </w:r>
      <w:r w:rsidR="00A521B8" w:rsidRPr="009371D6">
        <w:rPr>
          <w:szCs w:val="20"/>
        </w:rPr>
        <w:t xml:space="preserve">aid in </w:t>
      </w:r>
      <w:r w:rsidRPr="009371D6">
        <w:rPr>
          <w:szCs w:val="20"/>
        </w:rPr>
        <w:t>simplif</w:t>
      </w:r>
      <w:r w:rsidR="00A521B8" w:rsidRPr="009371D6">
        <w:rPr>
          <w:szCs w:val="20"/>
        </w:rPr>
        <w:t>ying and</w:t>
      </w:r>
      <w:r w:rsidRPr="009371D6">
        <w:rPr>
          <w:szCs w:val="20"/>
        </w:rPr>
        <w:t xml:space="preserve"> streamlin</w:t>
      </w:r>
      <w:r w:rsidR="00A521B8" w:rsidRPr="009371D6">
        <w:rPr>
          <w:szCs w:val="20"/>
        </w:rPr>
        <w:t>ing</w:t>
      </w:r>
      <w:r w:rsidRPr="009371D6">
        <w:rPr>
          <w:szCs w:val="20"/>
        </w:rPr>
        <w:t xml:space="preserve"> national VET qualifications across industry groupings</w:t>
      </w:r>
      <w:r w:rsidR="00141BE6" w:rsidRPr="009371D6">
        <w:rPr>
          <w:szCs w:val="20"/>
        </w:rPr>
        <w:t>.</w:t>
      </w:r>
    </w:p>
    <w:p w14:paraId="65C41C9A" w14:textId="77777777" w:rsidR="004347C8" w:rsidRDefault="004347C8" w:rsidP="00547658">
      <w:pPr>
        <w:widowControl/>
        <w:autoSpaceDE/>
        <w:autoSpaceDN/>
        <w:spacing w:after="160" w:line="259" w:lineRule="auto"/>
        <w:jc w:val="left"/>
      </w:pPr>
    </w:p>
    <w:p w14:paraId="602E8423" w14:textId="77777777" w:rsidR="004347C8" w:rsidRDefault="004347C8">
      <w:pPr>
        <w:widowControl/>
        <w:autoSpaceDE/>
        <w:autoSpaceDN/>
        <w:spacing w:after="160" w:line="259" w:lineRule="auto"/>
        <w:jc w:val="left"/>
      </w:pPr>
      <w:r>
        <w:br w:type="page"/>
      </w:r>
    </w:p>
    <w:p w14:paraId="7C89237A" w14:textId="77777777" w:rsidR="004347C8" w:rsidRPr="004347C8" w:rsidRDefault="004347C8" w:rsidP="004347C8">
      <w:pPr>
        <w:pStyle w:val="Heading2"/>
      </w:pPr>
      <w:bookmarkStart w:id="7" w:name="_Toc115363688"/>
      <w:r w:rsidRPr="004347C8">
        <w:lastRenderedPageBreak/>
        <w:t>Key Findings and Priorities</w:t>
      </w:r>
      <w:bookmarkEnd w:id="7"/>
    </w:p>
    <w:p w14:paraId="3422F243" w14:textId="790AD9A7" w:rsidR="004347C8" w:rsidRDefault="004347C8" w:rsidP="009A2A72">
      <w:r w:rsidRPr="004347C8">
        <w:t xml:space="preserve">The </w:t>
      </w:r>
      <w:r>
        <w:t>Australian meat</w:t>
      </w:r>
      <w:r w:rsidRPr="004347C8">
        <w:t xml:space="preserve"> industry </w:t>
      </w:r>
      <w:r>
        <w:t>is experiencing an extreme labour shortage, with meat process</w:t>
      </w:r>
      <w:r w:rsidR="009A2A72">
        <w:t>or</w:t>
      </w:r>
      <w:r>
        <w:t xml:space="preserve">s looking for an average of </w:t>
      </w:r>
      <w:r w:rsidR="004E51AB">
        <w:t>64</w:t>
      </w:r>
      <w:r>
        <w:t xml:space="preserve"> additional workers per business, and retail butchers looking for an average of </w:t>
      </w:r>
      <w:r w:rsidR="004E51AB">
        <w:t>nine (9)</w:t>
      </w:r>
      <w:r>
        <w:t xml:space="preserve"> additional workers per business. Two-thirds of meat/smallgoods processors are operating below 80% capacity (around one-quarter are only operating at 50-60% capacity), while almost half of retail butchers are operating below 80% capacity.</w:t>
      </w:r>
    </w:p>
    <w:p w14:paraId="5F82388F" w14:textId="77777777" w:rsidR="009A2A72" w:rsidRDefault="009A2A72" w:rsidP="009A2A72"/>
    <w:p w14:paraId="5D22BE37" w14:textId="40919608" w:rsidR="00E5320D" w:rsidRDefault="00E5320D" w:rsidP="009A2A72">
      <w:r>
        <w:t xml:space="preserve">Findings from Australian Meat Industry Council </w:t>
      </w:r>
      <w:r w:rsidR="009A2A72">
        <w:t xml:space="preserve">research </w:t>
      </w:r>
      <w:r>
        <w:t xml:space="preserve">indicate </w:t>
      </w:r>
      <w:r w:rsidR="009A2A72">
        <w:t>a</w:t>
      </w:r>
      <w:r>
        <w:t xml:space="preserve"> complexity of reasons for the labour shortfall, including </w:t>
      </w:r>
      <w:r w:rsidRPr="00E5320D">
        <w:t>general unwillingness to work in the industry</w:t>
      </w:r>
      <w:r>
        <w:t>, o</w:t>
      </w:r>
      <w:r w:rsidRPr="00E5320D">
        <w:t xml:space="preserve">ther business and employment opportunities </w:t>
      </w:r>
      <w:r>
        <w:t>being</w:t>
      </w:r>
      <w:r w:rsidRPr="00E5320D">
        <w:t xml:space="preserve"> more appealing</w:t>
      </w:r>
      <w:r>
        <w:t>, a</w:t>
      </w:r>
      <w:r w:rsidRPr="00E5320D">
        <w:t xml:space="preserve"> lack of international worker availability</w:t>
      </w:r>
      <w:r>
        <w:t>, f</w:t>
      </w:r>
      <w:r w:rsidRPr="00E5320D">
        <w:t xml:space="preserve">ailure </w:t>
      </w:r>
      <w:r>
        <w:t xml:space="preserve">of new industry entrants </w:t>
      </w:r>
      <w:r w:rsidRPr="00E5320D">
        <w:t>to pass pre-employment medical requirements</w:t>
      </w:r>
      <w:r>
        <w:t xml:space="preserve"> and l</w:t>
      </w:r>
      <w:r w:rsidRPr="00E5320D">
        <w:t xml:space="preserve">ow unemployment in </w:t>
      </w:r>
      <w:r>
        <w:t>local</w:t>
      </w:r>
      <w:r w:rsidRPr="00E5320D">
        <w:t xml:space="preserve"> region</w:t>
      </w:r>
      <w:r>
        <w:t>s.</w:t>
      </w:r>
    </w:p>
    <w:p w14:paraId="7953D0CC" w14:textId="77777777" w:rsidR="009A2A72" w:rsidRPr="00E5320D" w:rsidRDefault="009A2A72" w:rsidP="009A2A72"/>
    <w:p w14:paraId="33F072F6" w14:textId="1F7E1799" w:rsidR="004347C8" w:rsidRDefault="004347C8" w:rsidP="009A2A72">
      <w:r>
        <w:t xml:space="preserve">At the same time, industry trends indicate a need for higher-level skills, including increased safety skills relating to biosecurity issues and infection control. </w:t>
      </w:r>
    </w:p>
    <w:p w14:paraId="435C1B3A" w14:textId="77777777" w:rsidR="009A2A72" w:rsidRPr="004347C8" w:rsidRDefault="009A2A72" w:rsidP="009A2A72"/>
    <w:p w14:paraId="2AB8491C" w14:textId="44A5294D" w:rsidR="004347C8" w:rsidRDefault="004347C8" w:rsidP="009A2A72">
      <w:r w:rsidRPr="004347C8">
        <w:t xml:space="preserve">The IRC has identified priorities for </w:t>
      </w:r>
      <w:r w:rsidR="009A2A72">
        <w:t xml:space="preserve">the </w:t>
      </w:r>
      <w:r w:rsidRPr="004347C8">
        <w:t xml:space="preserve">consideration </w:t>
      </w:r>
      <w:r w:rsidR="009A2A72">
        <w:t xml:space="preserve">of </w:t>
      </w:r>
      <w:r w:rsidRPr="004347C8">
        <w:t xml:space="preserve">the </w:t>
      </w:r>
      <w:r w:rsidR="009A2A72">
        <w:t xml:space="preserve">forthcoming </w:t>
      </w:r>
      <w:r w:rsidRPr="004347C8">
        <w:t xml:space="preserve">Industry Cluster body </w:t>
      </w:r>
      <w:r w:rsidRPr="000D26F9">
        <w:t>(assuming establishment proceeds),</w:t>
      </w:r>
      <w:r w:rsidRPr="004347C8">
        <w:t xml:space="preserve"> including:</w:t>
      </w:r>
    </w:p>
    <w:p w14:paraId="320AFDEB" w14:textId="77777777" w:rsidR="00E5320D" w:rsidRDefault="00E5320D" w:rsidP="009A2A72">
      <w:pPr>
        <w:pStyle w:val="ListBullet"/>
      </w:pPr>
      <w:r w:rsidRPr="00E5320D">
        <w:t xml:space="preserve">The next stage (Stage 2 of 3) of the </w:t>
      </w:r>
      <w:r w:rsidRPr="00F46952">
        <w:rPr>
          <w:i/>
        </w:rPr>
        <w:t>AMP Training Package</w:t>
      </w:r>
      <w:r w:rsidRPr="00E5320D">
        <w:t xml:space="preserve"> Whole of Training Package/Core &amp; Foundation Qualifications project </w:t>
      </w:r>
    </w:p>
    <w:p w14:paraId="03BF52F4" w14:textId="439B25EE" w:rsidR="00E5320D" w:rsidRPr="00E5320D" w:rsidRDefault="00E5320D" w:rsidP="009A2A72">
      <w:pPr>
        <w:pStyle w:val="ListBullet"/>
      </w:pPr>
      <w:r w:rsidRPr="00E5320D">
        <w:t xml:space="preserve">Evaluation of Stage 1 of the Whole of Training Package/Core &amp; Foundation Qualifications approach for the </w:t>
      </w:r>
      <w:r w:rsidRPr="00F46952">
        <w:rPr>
          <w:i/>
        </w:rPr>
        <w:t>AMP Training Package</w:t>
      </w:r>
      <w:r w:rsidRPr="00E5320D">
        <w:t xml:space="preserve"> </w:t>
      </w:r>
    </w:p>
    <w:p w14:paraId="72308765" w14:textId="5A6F3726" w:rsidR="00EB0D86" w:rsidRPr="00EB0D86" w:rsidRDefault="009A2A72" w:rsidP="009A2A72">
      <w:pPr>
        <w:pStyle w:val="ListBullet"/>
      </w:pPr>
      <w:r>
        <w:t>Training and assessment m</w:t>
      </w:r>
      <w:r w:rsidR="00EB0D86" w:rsidRPr="00EB0D86">
        <w:t xml:space="preserve">aterials to support </w:t>
      </w:r>
      <w:r>
        <w:t xml:space="preserve">the delivery of </w:t>
      </w:r>
      <w:r w:rsidR="00EB0D86" w:rsidRPr="00EB0D86">
        <w:t xml:space="preserve">recently updated and new training </w:t>
      </w:r>
      <w:r>
        <w:t xml:space="preserve">products </w:t>
      </w:r>
      <w:r w:rsidR="00EB0D86" w:rsidRPr="00EB0D86">
        <w:t>for the Meat Processing sector </w:t>
      </w:r>
    </w:p>
    <w:p w14:paraId="7A3422CE" w14:textId="5FF928CC" w:rsidR="00EB0D86" w:rsidRDefault="009A2A72" w:rsidP="009A2A72">
      <w:pPr>
        <w:pStyle w:val="ListBullet"/>
      </w:pPr>
      <w:r>
        <w:t>W</w:t>
      </w:r>
      <w:r w:rsidR="004347C8" w:rsidRPr="004347C8">
        <w:t>orking with other agribusiness, food and fibre industries on research and planning projects to identify and address skills gaps related to</w:t>
      </w:r>
      <w:r w:rsidR="009C3702">
        <w:t xml:space="preserve"> sustainability</w:t>
      </w:r>
      <w:r w:rsidR="004347C8" w:rsidRPr="004347C8">
        <w:t xml:space="preserve"> traceability, provenance and blockchain</w:t>
      </w:r>
    </w:p>
    <w:p w14:paraId="32EC86E2" w14:textId="7168E8C9" w:rsidR="004347C8" w:rsidRDefault="009A2A72" w:rsidP="009A2A72">
      <w:pPr>
        <w:pStyle w:val="ListBullet"/>
      </w:pPr>
      <w:r>
        <w:t>I</w:t>
      </w:r>
      <w:r w:rsidR="004347C8" w:rsidRPr="004347C8">
        <w:t>dentifying digital skills needs using the Digital Workforce Capability and VET framework currently in development (along with other digital capability frameworks).</w:t>
      </w:r>
    </w:p>
    <w:p w14:paraId="60B7625A" w14:textId="77777777" w:rsidR="00C6344A" w:rsidRPr="004347C8" w:rsidRDefault="00C6344A" w:rsidP="00C6344A"/>
    <w:p w14:paraId="64EE944C" w14:textId="3ED8BBAA" w:rsidR="004B2693" w:rsidRDefault="004B2693" w:rsidP="0008771A"/>
    <w:p w14:paraId="5810C21C" w14:textId="745BB030" w:rsidR="0008771A" w:rsidRDefault="0008771A" w:rsidP="0008771A">
      <w:r>
        <w:t>Signed on behalf of the</w:t>
      </w:r>
      <w:r w:rsidRPr="00D50778">
        <w:t xml:space="preserve"> </w:t>
      </w:r>
      <w:r w:rsidRPr="009371D6">
        <w:rPr>
          <w:szCs w:val="20"/>
        </w:rPr>
        <w:t>Australian Meat Processing Industry Reference Committe</w:t>
      </w:r>
      <w:r>
        <w:rPr>
          <w:szCs w:val="20"/>
        </w:rPr>
        <w:t>e</w:t>
      </w:r>
      <w:r>
        <w:t>:</w:t>
      </w:r>
    </w:p>
    <w:p w14:paraId="15F380C5" w14:textId="3735BB51" w:rsidR="0008771A" w:rsidRDefault="0008771A" w:rsidP="0008771A">
      <w:pPr>
        <w:rPr>
          <w:noProof/>
        </w:rPr>
      </w:pPr>
    </w:p>
    <w:p w14:paraId="235FE034" w14:textId="5C39C98A" w:rsidR="0008771A" w:rsidRDefault="0008771A" w:rsidP="0008771A">
      <w:pPr>
        <w:ind w:firstLine="426"/>
        <w:rPr>
          <w:noProof/>
        </w:rPr>
      </w:pPr>
      <w:r w:rsidRPr="0008771A">
        <w:rPr>
          <w:noProof/>
        </w:rPr>
        <w:drawing>
          <wp:inline distT="0" distB="0" distL="0" distR="0" wp14:anchorId="2FF59C1C" wp14:editId="36A53D75">
            <wp:extent cx="1057275" cy="39857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78729" cy="406663"/>
                    </a:xfrm>
                    <a:prstGeom prst="rect">
                      <a:avLst/>
                    </a:prstGeom>
                  </pic:spPr>
                </pic:pic>
              </a:graphicData>
            </a:graphic>
          </wp:inline>
        </w:drawing>
      </w:r>
    </w:p>
    <w:p w14:paraId="399FBBD1" w14:textId="4469F00C" w:rsidR="0008771A" w:rsidRDefault="0008771A" w:rsidP="0008771A">
      <w:pPr>
        <w:spacing w:before="120" w:after="120"/>
        <w:ind w:left="425"/>
      </w:pPr>
      <w:r>
        <w:t xml:space="preserve">Chair: </w:t>
      </w:r>
      <w:r w:rsidRPr="0008771A">
        <w:t>Stacey McKenna</w:t>
      </w:r>
    </w:p>
    <w:p w14:paraId="3FF507E2" w14:textId="19E3CEA4" w:rsidR="0008771A" w:rsidRDefault="0008771A" w:rsidP="0008771A">
      <w:pPr>
        <w:ind w:left="426"/>
      </w:pPr>
      <w:r>
        <w:t>Date: 28/09/2022</w:t>
      </w:r>
    </w:p>
    <w:p w14:paraId="1BA43D2B" w14:textId="15680E24" w:rsidR="0008771A" w:rsidRDefault="0008771A">
      <w:pPr>
        <w:widowControl/>
        <w:autoSpaceDE/>
        <w:autoSpaceDN/>
        <w:spacing w:after="160" w:line="259" w:lineRule="auto"/>
        <w:jc w:val="left"/>
      </w:pPr>
      <w:r>
        <w:br w:type="page"/>
      </w:r>
    </w:p>
    <w:p w14:paraId="088ECDC0" w14:textId="77777777" w:rsidR="004B2693" w:rsidRPr="009A1A5A" w:rsidRDefault="004B2693" w:rsidP="004B2693">
      <w:pPr>
        <w:pStyle w:val="Heading2"/>
      </w:pPr>
      <w:bookmarkStart w:id="8" w:name="_Toc70600375"/>
      <w:bookmarkStart w:id="9" w:name="_Toc112844727"/>
      <w:bookmarkStart w:id="10" w:name="_Toc115363689"/>
      <w:r w:rsidRPr="009A1A5A">
        <w:lastRenderedPageBreak/>
        <w:t>Industry Reference Committee</w:t>
      </w:r>
      <w:bookmarkEnd w:id="8"/>
      <w:bookmarkEnd w:id="9"/>
      <w:bookmarkEnd w:id="10"/>
    </w:p>
    <w:p w14:paraId="6977EE07" w14:textId="1F67F545" w:rsidR="004B2693" w:rsidRDefault="004B2693" w:rsidP="004B2693">
      <w:pPr>
        <w:pStyle w:val="BodyText"/>
      </w:pPr>
      <w:r>
        <w:t>The Australian Meat Processing IRC is responsible for national training package qualifications relevant to the seafood processing, aquaculture and wild catch industries.</w:t>
      </w:r>
    </w:p>
    <w:p w14:paraId="38F373FC" w14:textId="77777777" w:rsidR="004B2693" w:rsidRDefault="004B2693" w:rsidP="004B2693">
      <w:pPr>
        <w:pStyle w:val="BodyText"/>
      </w:pPr>
    </w:p>
    <w:p w14:paraId="6EB56489" w14:textId="3F049979" w:rsidR="004B2693" w:rsidRDefault="004B2693" w:rsidP="004B2693">
      <w:pPr>
        <w:pStyle w:val="BodyText"/>
      </w:pPr>
      <w:r>
        <w:t xml:space="preserve">Qualifications overseen by the IRC are in the </w:t>
      </w:r>
      <w:r w:rsidRPr="004B2693">
        <w:rPr>
          <w:i/>
          <w:iCs/>
        </w:rPr>
        <w:t>Australian Meat Processing</w:t>
      </w:r>
      <w:r w:rsidRPr="00D65642">
        <w:rPr>
          <w:i/>
          <w:iCs/>
        </w:rPr>
        <w:t xml:space="preserve"> </w:t>
      </w:r>
      <w:r>
        <w:rPr>
          <w:i/>
          <w:iCs/>
        </w:rPr>
        <w:t xml:space="preserve">(AMP) </w:t>
      </w:r>
      <w:r w:rsidRPr="00D65642">
        <w:rPr>
          <w:i/>
          <w:iCs/>
        </w:rPr>
        <w:t>Training Package</w:t>
      </w:r>
      <w:r>
        <w:t>.</w:t>
      </w:r>
    </w:p>
    <w:p w14:paraId="3FDEBB61" w14:textId="77777777" w:rsidR="004B2693" w:rsidRDefault="004B2693" w:rsidP="004B2693">
      <w:pPr>
        <w:pStyle w:val="BodyText"/>
      </w:pPr>
    </w:p>
    <w:p w14:paraId="5EC74962" w14:textId="06D5A6AB" w:rsidR="004B2693" w:rsidRPr="009A1A5A" w:rsidRDefault="004B2693" w:rsidP="004B2693">
      <w:pPr>
        <w:pStyle w:val="BodyText"/>
      </w:pPr>
      <w:r>
        <w:t>The Australian Meat Processing IRC is supported by the Skills Service Organisation, Skills Impact.</w:t>
      </w:r>
    </w:p>
    <w:p w14:paraId="1E5729F1" w14:textId="77777777" w:rsidR="004B2693" w:rsidRPr="009A1A5A" w:rsidRDefault="004B2693" w:rsidP="004B2693">
      <w:pPr>
        <w:pStyle w:val="BodyText"/>
      </w:pPr>
    </w:p>
    <w:p w14:paraId="10F0C743" w14:textId="77777777" w:rsidR="004B2693" w:rsidRDefault="004B2693" w:rsidP="004B2693">
      <w:pPr>
        <w:pStyle w:val="BodyText"/>
      </w:pPr>
    </w:p>
    <w:tbl>
      <w:tblPr>
        <w:tblStyle w:val="TableGrid"/>
        <w:tblW w:w="5000" w:type="pct"/>
        <w:tblBorders>
          <w:top w:val="single" w:sz="4" w:space="0" w:color="00843D"/>
          <w:left w:val="single" w:sz="4" w:space="0" w:color="00843D"/>
          <w:bottom w:val="single" w:sz="4" w:space="0" w:color="00843D"/>
          <w:right w:val="single" w:sz="4" w:space="0" w:color="00843D"/>
          <w:insideH w:val="single" w:sz="4" w:space="0" w:color="00843D"/>
          <w:insideV w:val="single" w:sz="4" w:space="0" w:color="00843D"/>
        </w:tblBorders>
        <w:tblLook w:val="04A0" w:firstRow="1" w:lastRow="0" w:firstColumn="1" w:lastColumn="0" w:noHBand="0" w:noVBand="1"/>
      </w:tblPr>
      <w:tblGrid>
        <w:gridCol w:w="2788"/>
        <w:gridCol w:w="6562"/>
      </w:tblGrid>
      <w:tr w:rsidR="004B2693" w:rsidRPr="009A1A5A" w14:paraId="0B6B5061" w14:textId="77777777" w:rsidTr="00160CA4">
        <w:tc>
          <w:tcPr>
            <w:tcW w:w="1491" w:type="pct"/>
            <w:vAlign w:val="center"/>
          </w:tcPr>
          <w:p w14:paraId="00191E79" w14:textId="77777777" w:rsidR="004B2693" w:rsidRPr="009A1A5A" w:rsidRDefault="004B2693" w:rsidP="00160CA4">
            <w:pPr>
              <w:pStyle w:val="Tableheadings"/>
            </w:pPr>
            <w:bookmarkStart w:id="11" w:name="_Hlk115248367"/>
            <w:r w:rsidRPr="009A1A5A">
              <w:t>Name</w:t>
            </w:r>
          </w:p>
        </w:tc>
        <w:tc>
          <w:tcPr>
            <w:tcW w:w="3509" w:type="pct"/>
            <w:vAlign w:val="center"/>
          </w:tcPr>
          <w:p w14:paraId="5EB2C639" w14:textId="77777777" w:rsidR="004B2693" w:rsidRPr="009A1A5A" w:rsidRDefault="004B2693" w:rsidP="00160CA4">
            <w:pPr>
              <w:pStyle w:val="Tableheadings"/>
            </w:pPr>
            <w:r w:rsidRPr="009A1A5A">
              <w:t>Organisation or Area of Expertise</w:t>
            </w:r>
          </w:p>
        </w:tc>
      </w:tr>
      <w:tr w:rsidR="000F0971" w:rsidRPr="009A1A5A" w14:paraId="07916A8F" w14:textId="77777777" w:rsidTr="00160CA4">
        <w:tc>
          <w:tcPr>
            <w:tcW w:w="1491" w:type="pct"/>
          </w:tcPr>
          <w:p w14:paraId="2EF747EC" w14:textId="2E7DC5E9" w:rsidR="000F0971" w:rsidRPr="009A1A5A" w:rsidRDefault="000F0971" w:rsidP="00495080">
            <w:pPr>
              <w:spacing w:before="40" w:after="40"/>
            </w:pPr>
            <w:r w:rsidRPr="003F3DB9">
              <w:t>Stacey McKenna</w:t>
            </w:r>
            <w:r w:rsidR="0008771A">
              <w:t xml:space="preserve"> (Chair)</w:t>
            </w:r>
          </w:p>
        </w:tc>
        <w:tc>
          <w:tcPr>
            <w:tcW w:w="3509" w:type="pct"/>
          </w:tcPr>
          <w:p w14:paraId="5F8EE26D" w14:textId="1F333923" w:rsidR="000F0971" w:rsidRPr="009A1A5A" w:rsidRDefault="0008771A" w:rsidP="00495080">
            <w:pPr>
              <w:keepNext/>
              <w:spacing w:before="40" w:after="40"/>
            </w:pPr>
            <w:r w:rsidRPr="0008771A">
              <w:t>Australian Meat Industry Council representative</w:t>
            </w:r>
          </w:p>
        </w:tc>
      </w:tr>
      <w:tr w:rsidR="000F0971" w:rsidRPr="009A1A5A" w14:paraId="7675A47B" w14:textId="77777777" w:rsidTr="00160CA4">
        <w:tc>
          <w:tcPr>
            <w:tcW w:w="1491" w:type="pct"/>
          </w:tcPr>
          <w:p w14:paraId="70B1A632" w14:textId="5A5E17C8" w:rsidR="000F0971" w:rsidRPr="009A1A5A" w:rsidRDefault="000F0971" w:rsidP="00495080">
            <w:pPr>
              <w:spacing w:before="40" w:after="40"/>
            </w:pPr>
            <w:r w:rsidRPr="00FB73B9">
              <w:t>Graham Smith</w:t>
            </w:r>
          </w:p>
        </w:tc>
        <w:tc>
          <w:tcPr>
            <w:tcW w:w="3509" w:type="pct"/>
          </w:tcPr>
          <w:p w14:paraId="6A41B97B" w14:textId="44DBF998" w:rsidR="000F0971" w:rsidRPr="009A1A5A" w:rsidRDefault="0008771A" w:rsidP="00495080">
            <w:pPr>
              <w:keepNext/>
              <w:spacing w:before="40" w:after="40"/>
            </w:pPr>
            <w:r w:rsidRPr="0008771A">
              <w:t>Australian Meat Industry Employees Union (AMIEU) representative</w:t>
            </w:r>
          </w:p>
        </w:tc>
      </w:tr>
      <w:tr w:rsidR="000F0971" w:rsidRPr="009A1A5A" w14:paraId="61040865" w14:textId="77777777" w:rsidTr="00160CA4">
        <w:tc>
          <w:tcPr>
            <w:tcW w:w="1491" w:type="pct"/>
          </w:tcPr>
          <w:p w14:paraId="1A340C1B" w14:textId="66C32CBE" w:rsidR="000F0971" w:rsidRPr="009A1A5A" w:rsidRDefault="000F0971" w:rsidP="00495080">
            <w:pPr>
              <w:spacing w:before="40" w:after="40"/>
            </w:pPr>
            <w:r w:rsidRPr="00FB73B9">
              <w:t>Matt Journeaux</w:t>
            </w:r>
          </w:p>
        </w:tc>
        <w:tc>
          <w:tcPr>
            <w:tcW w:w="3509" w:type="pct"/>
          </w:tcPr>
          <w:p w14:paraId="59C12061" w14:textId="0378F3F1" w:rsidR="000F0971" w:rsidRPr="009A1A5A" w:rsidRDefault="005F290A" w:rsidP="00495080">
            <w:pPr>
              <w:keepNext/>
              <w:spacing w:before="40" w:after="40"/>
            </w:pPr>
            <w:r w:rsidRPr="005F290A">
              <w:t>Industry Expert - Meat Processing</w:t>
            </w:r>
          </w:p>
        </w:tc>
      </w:tr>
      <w:tr w:rsidR="000F0971" w:rsidRPr="009A1A5A" w14:paraId="414F2963" w14:textId="77777777" w:rsidTr="00160CA4">
        <w:tc>
          <w:tcPr>
            <w:tcW w:w="1491" w:type="pct"/>
          </w:tcPr>
          <w:p w14:paraId="72C2FEC1" w14:textId="6898741A" w:rsidR="000F0971" w:rsidRPr="009A1A5A" w:rsidRDefault="000F0971" w:rsidP="00495080">
            <w:pPr>
              <w:spacing w:before="40" w:after="40"/>
            </w:pPr>
            <w:r w:rsidRPr="007C1CB6">
              <w:t>Scott Robinson</w:t>
            </w:r>
          </w:p>
        </w:tc>
        <w:tc>
          <w:tcPr>
            <w:tcW w:w="3509" w:type="pct"/>
          </w:tcPr>
          <w:p w14:paraId="3DB419D1" w14:textId="03163B5C" w:rsidR="000F0971" w:rsidRPr="009A1A5A" w:rsidRDefault="005F290A" w:rsidP="00495080">
            <w:pPr>
              <w:keepNext/>
              <w:spacing w:before="40" w:after="40"/>
            </w:pPr>
            <w:r w:rsidRPr="005F290A">
              <w:t>Industry Expert - Meat Processing</w:t>
            </w:r>
          </w:p>
        </w:tc>
      </w:tr>
      <w:tr w:rsidR="000F0971" w:rsidRPr="009A1A5A" w14:paraId="13DCE02B" w14:textId="77777777" w:rsidTr="00160CA4">
        <w:tc>
          <w:tcPr>
            <w:tcW w:w="1491" w:type="pct"/>
          </w:tcPr>
          <w:p w14:paraId="14F3993A" w14:textId="3BAAE5AF" w:rsidR="000F0971" w:rsidRPr="009A1A5A" w:rsidRDefault="000F0971" w:rsidP="00495080">
            <w:pPr>
              <w:spacing w:before="40" w:after="40"/>
            </w:pPr>
            <w:r w:rsidRPr="007C1CB6">
              <w:t>Mark Rickard</w:t>
            </w:r>
          </w:p>
        </w:tc>
        <w:tc>
          <w:tcPr>
            <w:tcW w:w="3509" w:type="pct"/>
          </w:tcPr>
          <w:p w14:paraId="604A0CE0" w14:textId="171FA6F8" w:rsidR="000F0971" w:rsidRPr="009A1A5A" w:rsidRDefault="005F290A" w:rsidP="00495080">
            <w:pPr>
              <w:keepNext/>
              <w:spacing w:before="40" w:after="40"/>
            </w:pPr>
            <w:r w:rsidRPr="005F290A">
              <w:t>Industry Expert - Poultry Processing</w:t>
            </w:r>
          </w:p>
        </w:tc>
      </w:tr>
      <w:tr w:rsidR="000F0971" w:rsidRPr="009A1A5A" w14:paraId="45B96B32" w14:textId="77777777" w:rsidTr="00160CA4">
        <w:tc>
          <w:tcPr>
            <w:tcW w:w="1491" w:type="pct"/>
          </w:tcPr>
          <w:p w14:paraId="1B908F97" w14:textId="263A350E" w:rsidR="000F0971" w:rsidRPr="009A1A5A" w:rsidRDefault="000F0971" w:rsidP="00495080">
            <w:pPr>
              <w:spacing w:before="40" w:after="40"/>
            </w:pPr>
            <w:r w:rsidRPr="007C1CB6">
              <w:t>Morna Young</w:t>
            </w:r>
          </w:p>
        </w:tc>
        <w:tc>
          <w:tcPr>
            <w:tcW w:w="3509" w:type="pct"/>
          </w:tcPr>
          <w:p w14:paraId="13E14FA7" w14:textId="19C2D703" w:rsidR="000F0971" w:rsidRPr="009A1A5A" w:rsidRDefault="005F290A" w:rsidP="00495080">
            <w:pPr>
              <w:keepNext/>
              <w:spacing w:before="40" w:after="40"/>
            </w:pPr>
            <w:r w:rsidRPr="005F290A">
              <w:t>Industry Expert - Sheep Processing</w:t>
            </w:r>
          </w:p>
        </w:tc>
      </w:tr>
      <w:tr w:rsidR="000F0971" w:rsidRPr="009A1A5A" w14:paraId="6BD02020" w14:textId="77777777" w:rsidTr="00160CA4">
        <w:tc>
          <w:tcPr>
            <w:tcW w:w="1491" w:type="pct"/>
          </w:tcPr>
          <w:p w14:paraId="75523979" w14:textId="221222B2" w:rsidR="000F0971" w:rsidRPr="00D65642" w:rsidRDefault="000F0971" w:rsidP="00495080">
            <w:pPr>
              <w:spacing w:before="40" w:after="40"/>
            </w:pPr>
            <w:r w:rsidRPr="007C1CB6">
              <w:t>Amanda Carter</w:t>
            </w:r>
          </w:p>
        </w:tc>
        <w:tc>
          <w:tcPr>
            <w:tcW w:w="3509" w:type="pct"/>
          </w:tcPr>
          <w:p w14:paraId="6E73CEC4" w14:textId="689DE858" w:rsidR="000F0971" w:rsidRPr="00D65642" w:rsidRDefault="005F290A" w:rsidP="00495080">
            <w:pPr>
              <w:keepNext/>
              <w:spacing w:before="40" w:after="40"/>
            </w:pPr>
            <w:r w:rsidRPr="005F290A">
              <w:t>Industry Expert - Meat Processing</w:t>
            </w:r>
          </w:p>
        </w:tc>
      </w:tr>
      <w:tr w:rsidR="000F0971" w:rsidRPr="009A1A5A" w14:paraId="454FD6CF" w14:textId="77777777" w:rsidTr="00160CA4">
        <w:tc>
          <w:tcPr>
            <w:tcW w:w="1491" w:type="pct"/>
          </w:tcPr>
          <w:p w14:paraId="2A6D4D42" w14:textId="2CC9BA84" w:rsidR="000F0971" w:rsidRPr="009A1A5A" w:rsidRDefault="000F0971" w:rsidP="00495080">
            <w:pPr>
              <w:spacing w:before="40" w:after="40"/>
            </w:pPr>
            <w:r w:rsidRPr="007C1CB6">
              <w:t>Glenn Southward</w:t>
            </w:r>
          </w:p>
        </w:tc>
        <w:tc>
          <w:tcPr>
            <w:tcW w:w="3509" w:type="pct"/>
          </w:tcPr>
          <w:p w14:paraId="3E39AA87" w14:textId="04F7D367" w:rsidR="000F0971" w:rsidRPr="009A1A5A" w:rsidRDefault="005F290A" w:rsidP="00495080">
            <w:pPr>
              <w:keepNext/>
              <w:spacing w:before="40" w:after="40"/>
            </w:pPr>
            <w:r w:rsidRPr="005F290A">
              <w:t>Industry Expert - Beef Processing</w:t>
            </w:r>
          </w:p>
        </w:tc>
      </w:tr>
      <w:tr w:rsidR="000F0971" w:rsidRPr="009A1A5A" w14:paraId="4196ADD0" w14:textId="77777777" w:rsidTr="00160CA4">
        <w:tc>
          <w:tcPr>
            <w:tcW w:w="1491" w:type="pct"/>
          </w:tcPr>
          <w:p w14:paraId="22F08DE8" w14:textId="5205281A" w:rsidR="000F0971" w:rsidRPr="009A1A5A" w:rsidRDefault="000F0971" w:rsidP="00495080">
            <w:pPr>
              <w:spacing w:before="40" w:after="40"/>
            </w:pPr>
            <w:r w:rsidRPr="007C1CB6">
              <w:t>Nick Roach</w:t>
            </w:r>
          </w:p>
        </w:tc>
        <w:tc>
          <w:tcPr>
            <w:tcW w:w="3509" w:type="pct"/>
          </w:tcPr>
          <w:p w14:paraId="0180B46F" w14:textId="39101046" w:rsidR="000F0971" w:rsidRPr="009A1A5A" w:rsidRDefault="005F290A" w:rsidP="00495080">
            <w:pPr>
              <w:keepNext/>
              <w:tabs>
                <w:tab w:val="left" w:pos="900"/>
              </w:tabs>
              <w:spacing w:before="40" w:after="40"/>
            </w:pPr>
            <w:r w:rsidRPr="005F290A">
              <w:t>Industry Expert - Smallgoods Manufacturing</w:t>
            </w:r>
          </w:p>
        </w:tc>
      </w:tr>
      <w:tr w:rsidR="000F0971" w:rsidRPr="009A1A5A" w14:paraId="1143B061" w14:textId="77777777" w:rsidTr="00160CA4">
        <w:tc>
          <w:tcPr>
            <w:tcW w:w="1491" w:type="pct"/>
          </w:tcPr>
          <w:p w14:paraId="4C96D3D6" w14:textId="2AE05898" w:rsidR="000F0971" w:rsidRPr="009A1A5A" w:rsidRDefault="000F0971" w:rsidP="00495080">
            <w:pPr>
              <w:spacing w:before="40" w:after="40"/>
            </w:pPr>
            <w:r w:rsidRPr="007C1CB6">
              <w:t>Wayne Herrod</w:t>
            </w:r>
          </w:p>
        </w:tc>
        <w:tc>
          <w:tcPr>
            <w:tcW w:w="3509" w:type="pct"/>
          </w:tcPr>
          <w:p w14:paraId="5149A4CA" w14:textId="1FCC7E38" w:rsidR="000F0971" w:rsidRPr="009A1A5A" w:rsidRDefault="0008771A" w:rsidP="00495080">
            <w:pPr>
              <w:keepNext/>
              <w:spacing w:before="40" w:after="40"/>
            </w:pPr>
            <w:r w:rsidRPr="005F290A">
              <w:t>Industry Expert - Meat Processing</w:t>
            </w:r>
          </w:p>
        </w:tc>
      </w:tr>
      <w:tr w:rsidR="000F0971" w:rsidRPr="009A1A5A" w14:paraId="772B5C15" w14:textId="77777777" w:rsidTr="00160CA4">
        <w:tc>
          <w:tcPr>
            <w:tcW w:w="1491" w:type="pct"/>
          </w:tcPr>
          <w:p w14:paraId="6CD2284A" w14:textId="7BB38F50" w:rsidR="000F0971" w:rsidRPr="00D65642" w:rsidRDefault="000F0971" w:rsidP="00495080">
            <w:pPr>
              <w:spacing w:before="40" w:after="40"/>
            </w:pPr>
            <w:r w:rsidRPr="007C1CB6">
              <w:t>Tony Morgan</w:t>
            </w:r>
          </w:p>
        </w:tc>
        <w:tc>
          <w:tcPr>
            <w:tcW w:w="3509" w:type="pct"/>
          </w:tcPr>
          <w:p w14:paraId="5560A1C8" w14:textId="0312F533" w:rsidR="000F0971" w:rsidRPr="00D65642" w:rsidRDefault="0008771A" w:rsidP="00495080">
            <w:pPr>
              <w:keepNext/>
              <w:spacing w:before="40" w:after="40"/>
            </w:pPr>
            <w:r w:rsidRPr="005F290A">
              <w:t>Industry Expert - Meat Processing</w:t>
            </w:r>
          </w:p>
        </w:tc>
      </w:tr>
      <w:bookmarkEnd w:id="11"/>
    </w:tbl>
    <w:p w14:paraId="679BE4B7" w14:textId="77777777" w:rsidR="004B2693" w:rsidRDefault="004B2693" w:rsidP="004B2693"/>
    <w:p w14:paraId="62A239A3" w14:textId="77777777" w:rsidR="004B2693" w:rsidRDefault="004B2693" w:rsidP="004B2693"/>
    <w:p w14:paraId="048A1768" w14:textId="77777777" w:rsidR="004B2693" w:rsidRDefault="004B2693" w:rsidP="004B2693"/>
    <w:p w14:paraId="40B0A78E" w14:textId="77777777" w:rsidR="004B2693" w:rsidRPr="00D35804" w:rsidRDefault="004B2693" w:rsidP="004B2693">
      <w:pPr>
        <w:pStyle w:val="Heading2"/>
      </w:pPr>
      <w:bookmarkStart w:id="12" w:name="_Toc112844728"/>
      <w:bookmarkStart w:id="13" w:name="_Toc115363690"/>
      <w:bookmarkStart w:id="14" w:name="_Toc70601933"/>
      <w:bookmarkStart w:id="15" w:name="_Toc98430768"/>
      <w:r w:rsidRPr="00D35804">
        <w:t>Method</w:t>
      </w:r>
      <w:bookmarkEnd w:id="12"/>
      <w:bookmarkEnd w:id="13"/>
      <w:r w:rsidRPr="00D35804">
        <w:t xml:space="preserve"> </w:t>
      </w:r>
      <w:bookmarkEnd w:id="14"/>
      <w:bookmarkEnd w:id="15"/>
    </w:p>
    <w:p w14:paraId="5418C3F5" w14:textId="77777777" w:rsidR="004B2693" w:rsidRPr="00D35804" w:rsidRDefault="004B2693" w:rsidP="004B2693">
      <w:r w:rsidRPr="00D35804">
        <w:t>Industry Reference Committees oversee the work of Skills Service organisations in the collection and analysis of industry intelligence, which is used to:</w:t>
      </w:r>
    </w:p>
    <w:p w14:paraId="552271E2" w14:textId="77777777" w:rsidR="004B2693" w:rsidRPr="00D35804" w:rsidRDefault="004B2693" w:rsidP="004B2693">
      <w:pPr>
        <w:pStyle w:val="ListBullet"/>
        <w:numPr>
          <w:ilvl w:val="0"/>
          <w:numId w:val="1"/>
        </w:numPr>
        <w:rPr>
          <w:lang w:eastAsia="en-AU"/>
        </w:rPr>
      </w:pPr>
      <w:r w:rsidRPr="00D35804">
        <w:rPr>
          <w:lang w:eastAsia="en-AU"/>
        </w:rPr>
        <w:t>Identify industry skills needs and challenges</w:t>
      </w:r>
    </w:p>
    <w:p w14:paraId="2577C9D0" w14:textId="77777777" w:rsidR="004B2693" w:rsidRPr="00D35804" w:rsidRDefault="004B2693" w:rsidP="004B2693">
      <w:pPr>
        <w:pStyle w:val="ListBullet"/>
        <w:numPr>
          <w:ilvl w:val="0"/>
          <w:numId w:val="1"/>
        </w:numPr>
        <w:rPr>
          <w:lang w:eastAsia="en-AU"/>
        </w:rPr>
      </w:pPr>
      <w:r w:rsidRPr="00D35804">
        <w:rPr>
          <w:lang w:eastAsia="en-AU"/>
        </w:rPr>
        <w:t>Identify issues and potential improvements to the Skills and VET system</w:t>
      </w:r>
    </w:p>
    <w:p w14:paraId="7F85FAD0" w14:textId="77777777" w:rsidR="004B2693" w:rsidRPr="00D35804" w:rsidRDefault="004B2693" w:rsidP="004B2693">
      <w:pPr>
        <w:pStyle w:val="ListBullet"/>
        <w:numPr>
          <w:ilvl w:val="0"/>
          <w:numId w:val="1"/>
        </w:numPr>
        <w:rPr>
          <w:lang w:eastAsia="en-AU"/>
        </w:rPr>
      </w:pPr>
      <w:r w:rsidRPr="00D35804">
        <w:rPr>
          <w:lang w:eastAsia="en-AU"/>
        </w:rPr>
        <w:t xml:space="preserve">Provide the basis for work to update VET training </w:t>
      </w:r>
      <w:r>
        <w:rPr>
          <w:lang w:eastAsia="en-AU"/>
        </w:rPr>
        <w:t xml:space="preserve">package </w:t>
      </w:r>
      <w:r w:rsidRPr="00D35804">
        <w:rPr>
          <w:lang w:eastAsia="en-AU"/>
        </w:rPr>
        <w:t>products</w:t>
      </w:r>
    </w:p>
    <w:p w14:paraId="51F3FDFD" w14:textId="77777777" w:rsidR="004B2693" w:rsidRPr="00D35804" w:rsidRDefault="004B2693" w:rsidP="004B2693">
      <w:pPr>
        <w:pStyle w:val="ListBullet2"/>
        <w:numPr>
          <w:ilvl w:val="0"/>
          <w:numId w:val="3"/>
        </w:numPr>
        <w:rPr>
          <w:lang w:eastAsia="en-AU"/>
        </w:rPr>
      </w:pPr>
      <w:r w:rsidRPr="00D35804">
        <w:rPr>
          <w:lang w:eastAsia="en-AU"/>
        </w:rPr>
        <w:t>Provide an information source for industry to assist with business, workforce, skills and training planning</w:t>
      </w:r>
      <w:r>
        <w:rPr>
          <w:lang w:eastAsia="en-AU"/>
        </w:rPr>
        <w:t>.</w:t>
      </w:r>
    </w:p>
    <w:p w14:paraId="1863B9A4" w14:textId="1439B121" w:rsidR="00495080" w:rsidRDefault="004B2693" w:rsidP="004B2693">
      <w:pPr>
        <w:spacing w:before="60"/>
      </w:pPr>
      <w:r w:rsidRPr="00D35804">
        <w:t xml:space="preserve">The information in this report has been collated from a variety of sources identified by Industry Reference Committee members and industry stakeholders who have participated in </w:t>
      </w:r>
      <w:r>
        <w:t>consultations</w:t>
      </w:r>
      <w:r w:rsidRPr="00D35804">
        <w:t xml:space="preserve"> with Skills impact. It also utilises data and information from official sources and major commercial providers through the assistance of the Australian Government Department of Education, Skills and Employment. </w:t>
      </w:r>
    </w:p>
    <w:p w14:paraId="044D0191" w14:textId="77777777" w:rsidR="00495080" w:rsidRDefault="00495080">
      <w:pPr>
        <w:widowControl/>
        <w:autoSpaceDE/>
        <w:autoSpaceDN/>
        <w:spacing w:after="160" w:line="259" w:lineRule="auto"/>
        <w:jc w:val="left"/>
      </w:pPr>
      <w:r>
        <w:br w:type="page"/>
      </w:r>
    </w:p>
    <w:p w14:paraId="60046B8A" w14:textId="39C8310B" w:rsidR="00046A1E" w:rsidRPr="001C4BA9" w:rsidRDefault="000B1294" w:rsidP="000B1294">
      <w:pPr>
        <w:pStyle w:val="Heading2"/>
      </w:pPr>
      <w:bookmarkStart w:id="16" w:name="_Ref96689337"/>
      <w:bookmarkStart w:id="17" w:name="_Toc115363691"/>
      <w:r w:rsidRPr="000B1294">
        <w:lastRenderedPageBreak/>
        <w:t>Environmental Analysis</w:t>
      </w:r>
      <w:bookmarkEnd w:id="16"/>
      <w:bookmarkEnd w:id="17"/>
    </w:p>
    <w:p w14:paraId="0B067FE5" w14:textId="4C3321A1" w:rsidR="000B1294" w:rsidRDefault="000B1294" w:rsidP="000B1294">
      <w:pPr>
        <w:pStyle w:val="Heading3"/>
      </w:pPr>
      <w:bookmarkStart w:id="18" w:name="_Toc115363692"/>
      <w:r w:rsidRPr="000B1294">
        <w:t>Whole of Value Chain Approach</w:t>
      </w:r>
      <w:bookmarkEnd w:id="18"/>
    </w:p>
    <w:p w14:paraId="456C4431" w14:textId="380BEDE2" w:rsidR="007C6FA6" w:rsidRPr="009371D6" w:rsidRDefault="007E7BD8" w:rsidP="00D90F5A">
      <w:pPr>
        <w:rPr>
          <w:szCs w:val="20"/>
        </w:rPr>
      </w:pPr>
      <w:r w:rsidRPr="009371D6">
        <w:rPr>
          <w:szCs w:val="20"/>
        </w:rPr>
        <w:t xml:space="preserve">The Australian meat industry is comprised of processors, wholesalers, retailers and exporters who </w:t>
      </w:r>
      <w:r w:rsidR="00C41224" w:rsidRPr="009371D6">
        <w:rPr>
          <w:szCs w:val="20"/>
        </w:rPr>
        <w:t>collectively</w:t>
      </w:r>
      <w:r w:rsidRPr="009371D6">
        <w:rPr>
          <w:szCs w:val="20"/>
        </w:rPr>
        <w:t xml:space="preserve"> are responsible for supply</w:t>
      </w:r>
      <w:r w:rsidR="00C41224" w:rsidRPr="009371D6">
        <w:rPr>
          <w:szCs w:val="20"/>
        </w:rPr>
        <w:t>ing</w:t>
      </w:r>
      <w:r w:rsidRPr="009371D6">
        <w:rPr>
          <w:szCs w:val="20"/>
        </w:rPr>
        <w:t xml:space="preserve"> meat to domestic and international markets. </w:t>
      </w:r>
      <w:r w:rsidR="00A15DA1" w:rsidRPr="009371D6">
        <w:rPr>
          <w:szCs w:val="20"/>
        </w:rPr>
        <w:t xml:space="preserve">Primary activities and skills domains include </w:t>
      </w:r>
      <w:r w:rsidR="00D90F5A" w:rsidRPr="009371D6">
        <w:rPr>
          <w:szCs w:val="20"/>
        </w:rPr>
        <w:t xml:space="preserve">slaughtering, boning, freezing, preserving, packing and </w:t>
      </w:r>
      <w:r w:rsidR="00E30C68" w:rsidRPr="009371D6">
        <w:rPr>
          <w:szCs w:val="20"/>
        </w:rPr>
        <w:t>selling</w:t>
      </w:r>
      <w:r w:rsidR="00D90F5A" w:rsidRPr="009371D6">
        <w:rPr>
          <w:szCs w:val="20"/>
        </w:rPr>
        <w:t xml:space="preserve"> meat</w:t>
      </w:r>
      <w:r w:rsidR="00FF6F0A" w:rsidRPr="009371D6">
        <w:rPr>
          <w:rStyle w:val="FootnoteReference"/>
          <w:sz w:val="20"/>
          <w:szCs w:val="20"/>
        </w:rPr>
        <w:footnoteReference w:id="1"/>
      </w:r>
      <w:r w:rsidR="00A1054F" w:rsidRPr="009371D6">
        <w:rPr>
          <w:szCs w:val="20"/>
        </w:rPr>
        <w:t>.</w:t>
      </w:r>
      <w:r w:rsidR="00D90F5A" w:rsidRPr="009371D6">
        <w:rPr>
          <w:szCs w:val="20"/>
        </w:rPr>
        <w:t xml:space="preserve"> </w:t>
      </w:r>
    </w:p>
    <w:p w14:paraId="1BBD4459" w14:textId="77777777" w:rsidR="007C6FA6" w:rsidRPr="009371D6" w:rsidRDefault="007C6FA6" w:rsidP="007E7BD8">
      <w:pPr>
        <w:rPr>
          <w:szCs w:val="20"/>
        </w:rPr>
      </w:pPr>
    </w:p>
    <w:p w14:paraId="1A24F113" w14:textId="706BECBF" w:rsidR="00356E97" w:rsidRPr="009371D6" w:rsidRDefault="00FE075F" w:rsidP="00356E97">
      <w:pPr>
        <w:rPr>
          <w:szCs w:val="20"/>
        </w:rPr>
      </w:pPr>
      <w:r w:rsidRPr="009371D6">
        <w:rPr>
          <w:szCs w:val="20"/>
        </w:rPr>
        <w:t>The meat processing value chain encompasses all stakeholders (up- and down-stream suppliers, farmers and raw materials suppliers, traders and retailers) who are often linked in cooperative and collaborative relationships to provide consumers with products and services.</w:t>
      </w:r>
      <w:r w:rsidR="009D1041" w:rsidRPr="009371D6">
        <w:rPr>
          <w:szCs w:val="20"/>
        </w:rPr>
        <w:t xml:space="preserve"> </w:t>
      </w:r>
      <w:r w:rsidR="00356E97" w:rsidRPr="009371D6">
        <w:rPr>
          <w:szCs w:val="20"/>
        </w:rPr>
        <w:t xml:space="preserve">The meat processing industry notes that a whole of value chain approach is essential not only for understanding the ways in which industries work together in end-to-end systems, but also to implement robust and adaptable practices for current and future working. </w:t>
      </w:r>
    </w:p>
    <w:p w14:paraId="444A38B7" w14:textId="77777777" w:rsidR="00356E97" w:rsidRPr="009371D6" w:rsidRDefault="00356E97" w:rsidP="00356E97">
      <w:pPr>
        <w:rPr>
          <w:szCs w:val="20"/>
        </w:rPr>
      </w:pPr>
    </w:p>
    <w:p w14:paraId="295DEB96" w14:textId="07239826" w:rsidR="00FE075F" w:rsidRPr="009371D6" w:rsidRDefault="009D1041" w:rsidP="00FE075F">
      <w:pPr>
        <w:rPr>
          <w:szCs w:val="20"/>
        </w:rPr>
      </w:pPr>
      <w:r w:rsidRPr="009371D6">
        <w:rPr>
          <w:szCs w:val="20"/>
        </w:rPr>
        <w:t xml:space="preserve">Value chains are </w:t>
      </w:r>
      <w:r w:rsidR="00D040A4" w:rsidRPr="009371D6">
        <w:rPr>
          <w:szCs w:val="20"/>
        </w:rPr>
        <w:t xml:space="preserve">shaped </w:t>
      </w:r>
      <w:r w:rsidRPr="009371D6">
        <w:rPr>
          <w:szCs w:val="20"/>
        </w:rPr>
        <w:t xml:space="preserve">by consumer demand </w:t>
      </w:r>
      <w:r w:rsidR="00635234">
        <w:rPr>
          <w:szCs w:val="20"/>
        </w:rPr>
        <w:t xml:space="preserve">and </w:t>
      </w:r>
      <w:r w:rsidR="00374E45" w:rsidRPr="009371D6">
        <w:rPr>
          <w:szCs w:val="20"/>
        </w:rPr>
        <w:t>external trends</w:t>
      </w:r>
      <w:r w:rsidR="00635234">
        <w:rPr>
          <w:szCs w:val="20"/>
        </w:rPr>
        <w:t>,</w:t>
      </w:r>
      <w:r w:rsidR="00374E45" w:rsidRPr="009371D6">
        <w:rPr>
          <w:szCs w:val="20"/>
        </w:rPr>
        <w:t xml:space="preserve"> </w:t>
      </w:r>
      <w:r w:rsidR="009E3019" w:rsidRPr="009371D6">
        <w:rPr>
          <w:szCs w:val="20"/>
        </w:rPr>
        <w:t xml:space="preserve">and industry partnerships develop to provide products with </w:t>
      </w:r>
      <w:r w:rsidR="00BE5E91" w:rsidRPr="009371D6">
        <w:rPr>
          <w:szCs w:val="20"/>
        </w:rPr>
        <w:t>specific attributes</w:t>
      </w:r>
      <w:r w:rsidRPr="009371D6">
        <w:rPr>
          <w:szCs w:val="20"/>
        </w:rPr>
        <w:t xml:space="preserve"> </w:t>
      </w:r>
      <w:r w:rsidR="00635234">
        <w:rPr>
          <w:szCs w:val="20"/>
        </w:rPr>
        <w:t xml:space="preserve">in response to these, </w:t>
      </w:r>
      <w:r w:rsidR="008C475A" w:rsidRPr="009371D6">
        <w:rPr>
          <w:szCs w:val="20"/>
        </w:rPr>
        <w:t xml:space="preserve">including </w:t>
      </w:r>
      <w:r w:rsidRPr="009371D6">
        <w:rPr>
          <w:szCs w:val="20"/>
        </w:rPr>
        <w:t>sustainable packaging</w:t>
      </w:r>
      <w:r w:rsidR="00BD2CCE" w:rsidRPr="009371D6">
        <w:rPr>
          <w:szCs w:val="20"/>
        </w:rPr>
        <w:t xml:space="preserve"> and</w:t>
      </w:r>
      <w:r w:rsidRPr="009371D6">
        <w:rPr>
          <w:szCs w:val="20"/>
        </w:rPr>
        <w:t xml:space="preserve"> </w:t>
      </w:r>
      <w:r w:rsidR="00BD2CCE" w:rsidRPr="009371D6">
        <w:rPr>
          <w:szCs w:val="20"/>
        </w:rPr>
        <w:t xml:space="preserve">specific animal </w:t>
      </w:r>
      <w:r w:rsidR="008C475A" w:rsidRPr="009371D6">
        <w:rPr>
          <w:szCs w:val="20"/>
        </w:rPr>
        <w:t xml:space="preserve">welfare and </w:t>
      </w:r>
      <w:r w:rsidR="00BD2CCE" w:rsidRPr="009371D6">
        <w:rPr>
          <w:szCs w:val="20"/>
        </w:rPr>
        <w:t xml:space="preserve">feed </w:t>
      </w:r>
      <w:r w:rsidR="008C475A" w:rsidRPr="009371D6">
        <w:rPr>
          <w:szCs w:val="20"/>
        </w:rPr>
        <w:t xml:space="preserve">practices </w:t>
      </w:r>
      <w:r w:rsidR="00F664F7" w:rsidRPr="009371D6">
        <w:rPr>
          <w:szCs w:val="20"/>
        </w:rPr>
        <w:t>(e.g. grass-fed</w:t>
      </w:r>
      <w:r w:rsidR="0005030A" w:rsidRPr="009371D6">
        <w:rPr>
          <w:szCs w:val="20"/>
        </w:rPr>
        <w:t xml:space="preserve"> or antibiotic-free</w:t>
      </w:r>
      <w:r w:rsidR="00F664F7" w:rsidRPr="009371D6">
        <w:rPr>
          <w:szCs w:val="20"/>
        </w:rPr>
        <w:t xml:space="preserve">). </w:t>
      </w:r>
      <w:r w:rsidR="008B6D14" w:rsidRPr="009371D6">
        <w:rPr>
          <w:szCs w:val="20"/>
        </w:rPr>
        <w:fldChar w:fldCharType="begin"/>
      </w:r>
      <w:r w:rsidR="008B6D14" w:rsidRPr="009371D6">
        <w:rPr>
          <w:szCs w:val="20"/>
        </w:rPr>
        <w:instrText xml:space="preserve"> REF _Ref106608572 \h </w:instrText>
      </w:r>
      <w:r w:rsidR="009371D6">
        <w:rPr>
          <w:szCs w:val="20"/>
        </w:rPr>
        <w:instrText xml:space="preserve"> \* MERGEFORMAT </w:instrText>
      </w:r>
      <w:r w:rsidR="008B6D14" w:rsidRPr="009371D6">
        <w:rPr>
          <w:szCs w:val="20"/>
        </w:rPr>
      </w:r>
      <w:r w:rsidR="008B6D14" w:rsidRPr="009371D6">
        <w:rPr>
          <w:szCs w:val="20"/>
        </w:rPr>
        <w:fldChar w:fldCharType="separate"/>
      </w:r>
      <w:r w:rsidR="00C6344A" w:rsidRPr="00C6344A">
        <w:rPr>
          <w:szCs w:val="20"/>
        </w:rPr>
        <w:t xml:space="preserve">Figure </w:t>
      </w:r>
      <w:r w:rsidR="00C6344A" w:rsidRPr="00C6344A">
        <w:rPr>
          <w:noProof/>
          <w:szCs w:val="20"/>
        </w:rPr>
        <w:t>1</w:t>
      </w:r>
      <w:r w:rsidR="008B6D14" w:rsidRPr="009371D6">
        <w:rPr>
          <w:szCs w:val="20"/>
        </w:rPr>
        <w:fldChar w:fldCharType="end"/>
      </w:r>
      <w:r w:rsidR="008B6D14" w:rsidRPr="009371D6">
        <w:rPr>
          <w:szCs w:val="20"/>
        </w:rPr>
        <w:t xml:space="preserve"> below </w:t>
      </w:r>
      <w:r w:rsidR="00230CAC" w:rsidRPr="009371D6">
        <w:rPr>
          <w:szCs w:val="20"/>
        </w:rPr>
        <w:t>displays the cured meat and smallgoods value chain</w:t>
      </w:r>
      <w:r w:rsidR="003A3171" w:rsidRPr="009371D6">
        <w:rPr>
          <w:szCs w:val="20"/>
        </w:rPr>
        <w:t xml:space="preserve"> and the external drivers that influence </w:t>
      </w:r>
      <w:r w:rsidR="0004084B" w:rsidRPr="009371D6">
        <w:rPr>
          <w:szCs w:val="20"/>
        </w:rPr>
        <w:t>industry partnerships and processes.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034F7" w14:paraId="24DE73EF" w14:textId="77777777" w:rsidTr="00141BE6">
        <w:tc>
          <w:tcPr>
            <w:tcW w:w="9350" w:type="dxa"/>
          </w:tcPr>
          <w:p w14:paraId="2CA3D992" w14:textId="23CBDAD9" w:rsidR="00C034F7" w:rsidRDefault="00C034F7" w:rsidP="00141BE6">
            <w:pPr>
              <w:pStyle w:val="TableTitle"/>
            </w:pPr>
            <w:bookmarkStart w:id="19" w:name="_Ref106608572"/>
            <w:r>
              <w:t xml:space="preserve">Figure </w:t>
            </w:r>
            <w:r w:rsidR="0069100F">
              <w:fldChar w:fldCharType="begin"/>
            </w:r>
            <w:r w:rsidR="0069100F">
              <w:instrText xml:space="preserve"> SEQ Figure \* ARABIC </w:instrText>
            </w:r>
            <w:r w:rsidR="0069100F">
              <w:fldChar w:fldCharType="separate"/>
            </w:r>
            <w:r w:rsidR="00C6344A">
              <w:rPr>
                <w:noProof/>
              </w:rPr>
              <w:t>1</w:t>
            </w:r>
            <w:r w:rsidR="0069100F">
              <w:rPr>
                <w:noProof/>
              </w:rPr>
              <w:fldChar w:fldCharType="end"/>
            </w:r>
            <w:bookmarkEnd w:id="19"/>
            <w:r>
              <w:t xml:space="preserve">: </w:t>
            </w:r>
            <w:r w:rsidR="00645D92" w:rsidRPr="00645D92">
              <w:t xml:space="preserve">Cured </w:t>
            </w:r>
            <w:r w:rsidR="00645D92">
              <w:t>m</w:t>
            </w:r>
            <w:r w:rsidR="00645D92" w:rsidRPr="00645D92">
              <w:t xml:space="preserve">eat and </w:t>
            </w:r>
            <w:r w:rsidR="00645D92">
              <w:t>s</w:t>
            </w:r>
            <w:r w:rsidR="00645D92" w:rsidRPr="00645D92">
              <w:t xml:space="preserve">mallgoods </w:t>
            </w:r>
            <w:r w:rsidR="00516DB7">
              <w:t>value chain</w:t>
            </w:r>
          </w:p>
        </w:tc>
      </w:tr>
      <w:tr w:rsidR="00C034F7" w14:paraId="2A135851" w14:textId="77777777" w:rsidTr="00141BE6">
        <w:tc>
          <w:tcPr>
            <w:tcW w:w="9350" w:type="dxa"/>
          </w:tcPr>
          <w:p w14:paraId="05124CA7" w14:textId="5D2F0EAB" w:rsidR="00C034F7" w:rsidRDefault="00183CEF" w:rsidP="00141BE6">
            <w:pPr>
              <w:pStyle w:val="TableInside"/>
            </w:pPr>
            <w:r w:rsidRPr="00183CEF">
              <w:rPr>
                <w:noProof/>
              </w:rPr>
              <w:drawing>
                <wp:inline distT="0" distB="0" distL="0" distR="0" wp14:anchorId="7152A862" wp14:editId="04B42121">
                  <wp:extent cx="5882055" cy="3381554"/>
                  <wp:effectExtent l="0" t="0" r="444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00560" cy="3392193"/>
                          </a:xfrm>
                          <a:prstGeom prst="rect">
                            <a:avLst/>
                          </a:prstGeom>
                        </pic:spPr>
                      </pic:pic>
                    </a:graphicData>
                  </a:graphic>
                </wp:inline>
              </w:drawing>
            </w:r>
          </w:p>
        </w:tc>
      </w:tr>
      <w:tr w:rsidR="00C034F7" w14:paraId="22317FC2" w14:textId="77777777" w:rsidTr="00141BE6">
        <w:tc>
          <w:tcPr>
            <w:tcW w:w="9350" w:type="dxa"/>
          </w:tcPr>
          <w:p w14:paraId="432FF75D" w14:textId="03102C58" w:rsidR="00C034F7" w:rsidRPr="008E15AE" w:rsidRDefault="00C034F7" w:rsidP="00141BE6">
            <w:pPr>
              <w:pStyle w:val="TableSource"/>
            </w:pPr>
            <w:r w:rsidRPr="008E15AE">
              <w:t xml:space="preserve">Source: </w:t>
            </w:r>
            <w:r w:rsidR="00516DB7" w:rsidRPr="008E15AE">
              <w:t xml:space="preserve">IBISWorld (2022); </w:t>
            </w:r>
            <w:r w:rsidR="00645D92" w:rsidRPr="008E15AE">
              <w:t>Cured Meat and Smallgoods Manufacturing in Australia</w:t>
            </w:r>
          </w:p>
        </w:tc>
      </w:tr>
    </w:tbl>
    <w:p w14:paraId="21B36B35" w14:textId="5D69AB60" w:rsidR="00052C3D" w:rsidRPr="009371D6" w:rsidRDefault="00052C3D" w:rsidP="00052C3D">
      <w:pPr>
        <w:rPr>
          <w:szCs w:val="20"/>
        </w:rPr>
      </w:pPr>
      <w:r w:rsidRPr="009371D6">
        <w:rPr>
          <w:szCs w:val="20"/>
        </w:rPr>
        <w:t>The</w:t>
      </w:r>
      <w:r w:rsidRPr="009371D6">
        <w:rPr>
          <w:i/>
          <w:iCs/>
          <w:szCs w:val="20"/>
        </w:rPr>
        <w:t xml:space="preserve"> Agribusiness, Food and Fibre Industries Skills Report </w:t>
      </w:r>
      <w:r w:rsidR="0004084B" w:rsidRPr="009371D6">
        <w:rPr>
          <w:szCs w:val="20"/>
        </w:rPr>
        <w:t xml:space="preserve">further </w:t>
      </w:r>
      <w:r w:rsidRPr="009371D6">
        <w:rPr>
          <w:szCs w:val="20"/>
        </w:rPr>
        <w:t>details overlaps between the meat processing industry and other industries across the Australian economy. There are many shared and transferable skills across industries</w:t>
      </w:r>
      <w:r w:rsidR="004B0D53" w:rsidRPr="009371D6">
        <w:rPr>
          <w:szCs w:val="20"/>
        </w:rPr>
        <w:t xml:space="preserve">, including </w:t>
      </w:r>
      <w:r w:rsidR="007D4F72" w:rsidRPr="009371D6">
        <w:rPr>
          <w:szCs w:val="20"/>
        </w:rPr>
        <w:t>for biosecurity and handling animals</w:t>
      </w:r>
      <w:r w:rsidRPr="009371D6">
        <w:rPr>
          <w:szCs w:val="20"/>
        </w:rPr>
        <w:t xml:space="preserve">. The relevance and </w:t>
      </w:r>
      <w:r w:rsidRPr="009371D6">
        <w:rPr>
          <w:szCs w:val="20"/>
        </w:rPr>
        <w:lastRenderedPageBreak/>
        <w:t xml:space="preserve">portability of </w:t>
      </w:r>
      <w:r w:rsidR="008D0791" w:rsidRPr="009371D6">
        <w:rPr>
          <w:i/>
          <w:iCs/>
          <w:szCs w:val="20"/>
        </w:rPr>
        <w:t xml:space="preserve">AMP </w:t>
      </w:r>
      <w:r w:rsidRPr="009371D6">
        <w:rPr>
          <w:i/>
          <w:iCs/>
          <w:szCs w:val="20"/>
        </w:rPr>
        <w:t>Training Package</w:t>
      </w:r>
      <w:r w:rsidRPr="009371D6">
        <w:rPr>
          <w:szCs w:val="20"/>
        </w:rPr>
        <w:t xml:space="preserve"> products is demonstrated by </w:t>
      </w:r>
      <w:r w:rsidR="00DB44DE" w:rsidRPr="009371D6">
        <w:rPr>
          <w:szCs w:val="20"/>
        </w:rPr>
        <w:t>201</w:t>
      </w:r>
      <w:r w:rsidRPr="009371D6">
        <w:rPr>
          <w:szCs w:val="20"/>
        </w:rPr>
        <w:t xml:space="preserve"> instances of </w:t>
      </w:r>
      <w:r w:rsidR="008D0791" w:rsidRPr="009371D6">
        <w:rPr>
          <w:szCs w:val="20"/>
        </w:rPr>
        <w:t>AMP</w:t>
      </w:r>
      <w:r w:rsidRPr="009371D6">
        <w:rPr>
          <w:szCs w:val="20"/>
        </w:rPr>
        <w:t xml:space="preserve"> units being imported into non-</w:t>
      </w:r>
      <w:r w:rsidR="008D0791" w:rsidRPr="009371D6">
        <w:rPr>
          <w:szCs w:val="20"/>
        </w:rPr>
        <w:t xml:space="preserve">AMP </w:t>
      </w:r>
      <w:r w:rsidRPr="009371D6">
        <w:rPr>
          <w:szCs w:val="20"/>
        </w:rPr>
        <w:t xml:space="preserve">Training Package qualifications. </w:t>
      </w:r>
    </w:p>
    <w:p w14:paraId="1A96AE8F" w14:textId="77777777" w:rsidR="00052C3D" w:rsidRPr="009371D6" w:rsidRDefault="00052C3D" w:rsidP="00F91104">
      <w:pPr>
        <w:rPr>
          <w:szCs w:val="20"/>
        </w:rPr>
      </w:pPr>
    </w:p>
    <w:p w14:paraId="0CE67E9F" w14:textId="41BC5869" w:rsidR="00FE03E7" w:rsidRPr="009371D6" w:rsidRDefault="004722CE" w:rsidP="00D368E6">
      <w:pPr>
        <w:rPr>
          <w:szCs w:val="20"/>
        </w:rPr>
      </w:pPr>
      <w:r w:rsidRPr="009371D6">
        <w:rPr>
          <w:szCs w:val="20"/>
        </w:rPr>
        <w:t xml:space="preserve">There are numerous external impacts on </w:t>
      </w:r>
      <w:r w:rsidR="00191418" w:rsidRPr="009371D6">
        <w:rPr>
          <w:szCs w:val="20"/>
        </w:rPr>
        <w:t xml:space="preserve">the meat processing industry </w:t>
      </w:r>
      <w:r w:rsidR="009466B5" w:rsidRPr="009371D6">
        <w:rPr>
          <w:szCs w:val="20"/>
        </w:rPr>
        <w:t>that operators need to be aware of to increase revenue</w:t>
      </w:r>
      <w:r w:rsidR="007D2D2D" w:rsidRPr="009371D6">
        <w:rPr>
          <w:szCs w:val="20"/>
        </w:rPr>
        <w:t xml:space="preserve"> and adapt to unexpected disruptions</w:t>
      </w:r>
      <w:r w:rsidR="009466B5" w:rsidRPr="009371D6">
        <w:rPr>
          <w:szCs w:val="20"/>
        </w:rPr>
        <w:t xml:space="preserve">. </w:t>
      </w:r>
      <w:r w:rsidR="00510AEE" w:rsidRPr="009371D6">
        <w:rPr>
          <w:szCs w:val="20"/>
        </w:rPr>
        <w:t xml:space="preserve">During the COVID-19 pandemic, supply chains and global trade </w:t>
      </w:r>
      <w:r w:rsidR="0029021D" w:rsidRPr="009371D6">
        <w:rPr>
          <w:szCs w:val="20"/>
        </w:rPr>
        <w:t xml:space="preserve">have been </w:t>
      </w:r>
      <w:r w:rsidR="007D2D2D" w:rsidRPr="009371D6">
        <w:rPr>
          <w:szCs w:val="20"/>
        </w:rPr>
        <w:t>interrupted</w:t>
      </w:r>
      <w:r w:rsidR="00510AEE" w:rsidRPr="009371D6">
        <w:rPr>
          <w:szCs w:val="20"/>
        </w:rPr>
        <w:t xml:space="preserve"> and, in some cases, shut down. </w:t>
      </w:r>
      <w:r w:rsidR="00FE03E7" w:rsidRPr="009371D6">
        <w:rPr>
          <w:szCs w:val="20"/>
        </w:rPr>
        <w:t xml:space="preserve">The most serious </w:t>
      </w:r>
      <w:r w:rsidR="00943AA2" w:rsidRPr="009371D6">
        <w:rPr>
          <w:szCs w:val="20"/>
        </w:rPr>
        <w:t xml:space="preserve">cases involved </w:t>
      </w:r>
      <w:r w:rsidR="00CF067E" w:rsidRPr="009371D6">
        <w:rPr>
          <w:szCs w:val="20"/>
        </w:rPr>
        <w:t xml:space="preserve">the </w:t>
      </w:r>
      <w:r w:rsidR="00FE03E7" w:rsidRPr="009371D6">
        <w:rPr>
          <w:szCs w:val="20"/>
        </w:rPr>
        <w:t xml:space="preserve">break-out of COVID-19 clusters </w:t>
      </w:r>
      <w:r w:rsidR="00943AA2" w:rsidRPr="009371D6">
        <w:rPr>
          <w:szCs w:val="20"/>
        </w:rPr>
        <w:t xml:space="preserve">in </w:t>
      </w:r>
      <w:r w:rsidR="00FE03E7" w:rsidRPr="009371D6">
        <w:rPr>
          <w:szCs w:val="20"/>
        </w:rPr>
        <w:t xml:space="preserve">several </w:t>
      </w:r>
      <w:r w:rsidR="001E03F6" w:rsidRPr="001E03F6">
        <w:rPr>
          <w:szCs w:val="20"/>
        </w:rPr>
        <w:t>meat processing plants</w:t>
      </w:r>
      <w:r w:rsidR="00943AA2" w:rsidRPr="009371D6">
        <w:rPr>
          <w:szCs w:val="20"/>
        </w:rPr>
        <w:t xml:space="preserve">, </w:t>
      </w:r>
      <w:r w:rsidR="00FE03E7" w:rsidRPr="009371D6">
        <w:rPr>
          <w:szCs w:val="20"/>
        </w:rPr>
        <w:t>affect</w:t>
      </w:r>
      <w:r w:rsidR="00943AA2" w:rsidRPr="009371D6">
        <w:rPr>
          <w:szCs w:val="20"/>
        </w:rPr>
        <w:t>ing</w:t>
      </w:r>
      <w:r w:rsidR="00FE03E7" w:rsidRPr="009371D6">
        <w:rPr>
          <w:szCs w:val="20"/>
        </w:rPr>
        <w:t xml:space="preserve"> the health of workers and</w:t>
      </w:r>
      <w:r w:rsidR="00943AA2" w:rsidRPr="009371D6">
        <w:rPr>
          <w:szCs w:val="20"/>
        </w:rPr>
        <w:t xml:space="preserve"> placing </w:t>
      </w:r>
      <w:r w:rsidR="00FE03E7" w:rsidRPr="009371D6">
        <w:rPr>
          <w:szCs w:val="20"/>
        </w:rPr>
        <w:t>pressure on business</w:t>
      </w:r>
      <w:r w:rsidR="00B71399" w:rsidRPr="009371D6">
        <w:rPr>
          <w:szCs w:val="20"/>
        </w:rPr>
        <w:t xml:space="preserve"> operations</w:t>
      </w:r>
      <w:r w:rsidR="00FE03E7" w:rsidRPr="009371D6">
        <w:rPr>
          <w:szCs w:val="20"/>
        </w:rPr>
        <w:t xml:space="preserve"> due to precautionary restrictions imposed by state authorities</w:t>
      </w:r>
      <w:r w:rsidR="00A421B8" w:rsidRPr="009371D6">
        <w:rPr>
          <w:szCs w:val="20"/>
        </w:rPr>
        <w:t xml:space="preserve">. </w:t>
      </w:r>
      <w:r w:rsidR="001D0E9E" w:rsidRPr="009371D6">
        <w:rPr>
          <w:szCs w:val="20"/>
        </w:rPr>
        <w:t xml:space="preserve">The flow of products and workers in and out of Australia was severely impacted, with </w:t>
      </w:r>
      <w:r w:rsidR="007E6784" w:rsidRPr="009371D6">
        <w:rPr>
          <w:szCs w:val="20"/>
        </w:rPr>
        <w:t xml:space="preserve">the curtailing of </w:t>
      </w:r>
      <w:r w:rsidR="001D0E9E" w:rsidRPr="009371D6">
        <w:rPr>
          <w:szCs w:val="20"/>
        </w:rPr>
        <w:t xml:space="preserve">seasonal workers entering </w:t>
      </w:r>
      <w:r w:rsidR="007E6784" w:rsidRPr="009371D6">
        <w:rPr>
          <w:szCs w:val="20"/>
        </w:rPr>
        <w:t xml:space="preserve">the country </w:t>
      </w:r>
      <w:r w:rsidR="001D0E9E" w:rsidRPr="009371D6">
        <w:rPr>
          <w:szCs w:val="20"/>
        </w:rPr>
        <w:t>to fill job positions</w:t>
      </w:r>
      <w:r w:rsidR="007E6784" w:rsidRPr="009371D6">
        <w:rPr>
          <w:szCs w:val="20"/>
        </w:rPr>
        <w:t>, and gl</w:t>
      </w:r>
      <w:r w:rsidR="00A421B8" w:rsidRPr="009371D6">
        <w:rPr>
          <w:szCs w:val="20"/>
        </w:rPr>
        <w:t>obal markets bec</w:t>
      </w:r>
      <w:r w:rsidR="001C6A05" w:rsidRPr="009371D6">
        <w:rPr>
          <w:szCs w:val="20"/>
        </w:rPr>
        <w:t>oming</w:t>
      </w:r>
      <w:r w:rsidR="00A421B8" w:rsidRPr="009371D6">
        <w:rPr>
          <w:szCs w:val="20"/>
        </w:rPr>
        <w:t xml:space="preserve"> less accessible, </w:t>
      </w:r>
      <w:r w:rsidR="001C6A05" w:rsidRPr="009371D6">
        <w:rPr>
          <w:szCs w:val="20"/>
        </w:rPr>
        <w:t xml:space="preserve">especially </w:t>
      </w:r>
      <w:r w:rsidR="00A421B8" w:rsidRPr="009371D6">
        <w:rPr>
          <w:szCs w:val="20"/>
        </w:rPr>
        <w:t xml:space="preserve">with disruptions </w:t>
      </w:r>
      <w:r w:rsidR="001C6A05" w:rsidRPr="009371D6">
        <w:rPr>
          <w:szCs w:val="20"/>
        </w:rPr>
        <w:t xml:space="preserve">to </w:t>
      </w:r>
      <w:r w:rsidR="00A421B8" w:rsidRPr="009371D6">
        <w:rPr>
          <w:szCs w:val="20"/>
        </w:rPr>
        <w:t>freight and cargo transport</w:t>
      </w:r>
      <w:r w:rsidR="00FE03E7" w:rsidRPr="009371D6">
        <w:rPr>
          <w:szCs w:val="20"/>
        </w:rPr>
        <w:t xml:space="preserve">. </w:t>
      </w:r>
    </w:p>
    <w:p w14:paraId="332A1A66" w14:textId="77777777" w:rsidR="00FE03E7" w:rsidRPr="009371D6" w:rsidRDefault="00FE03E7" w:rsidP="00D368E6">
      <w:pPr>
        <w:rPr>
          <w:szCs w:val="20"/>
        </w:rPr>
      </w:pPr>
    </w:p>
    <w:p w14:paraId="7CCEFDC0" w14:textId="562F09F4" w:rsidR="00A22B68" w:rsidRDefault="00936A5F" w:rsidP="008A3EBD">
      <w:pPr>
        <w:rPr>
          <w:szCs w:val="20"/>
        </w:rPr>
      </w:pPr>
      <w:r w:rsidRPr="009371D6">
        <w:rPr>
          <w:szCs w:val="20"/>
        </w:rPr>
        <w:t xml:space="preserve">Processors are responding by </w:t>
      </w:r>
      <w:r w:rsidR="00A35821" w:rsidRPr="009371D6">
        <w:rPr>
          <w:szCs w:val="20"/>
        </w:rPr>
        <w:t xml:space="preserve">strengthening value chains both locally and nationally. </w:t>
      </w:r>
      <w:r w:rsidR="00A22B68" w:rsidRPr="009371D6">
        <w:rPr>
          <w:szCs w:val="20"/>
        </w:rPr>
        <w:t>The chicken meat industry</w:t>
      </w:r>
      <w:r w:rsidR="003E2C2D" w:rsidRPr="009371D6">
        <w:rPr>
          <w:szCs w:val="20"/>
        </w:rPr>
        <w:t>, for example,</w:t>
      </w:r>
      <w:r w:rsidR="00A22B68" w:rsidRPr="009371D6">
        <w:rPr>
          <w:szCs w:val="20"/>
        </w:rPr>
        <w:t xml:space="preserve"> is </w:t>
      </w:r>
      <w:r w:rsidR="00C4617F" w:rsidRPr="009371D6">
        <w:rPr>
          <w:szCs w:val="20"/>
        </w:rPr>
        <w:t>largely</w:t>
      </w:r>
      <w:r w:rsidR="00A22B68" w:rsidRPr="009371D6">
        <w:rPr>
          <w:szCs w:val="20"/>
        </w:rPr>
        <w:t xml:space="preserve"> vertically integrated, </w:t>
      </w:r>
      <w:r w:rsidR="00C4617F" w:rsidRPr="009371D6">
        <w:rPr>
          <w:szCs w:val="20"/>
        </w:rPr>
        <w:t xml:space="preserve">with </w:t>
      </w:r>
      <w:r w:rsidR="00A22B68" w:rsidRPr="009371D6">
        <w:rPr>
          <w:szCs w:val="20"/>
        </w:rPr>
        <w:t xml:space="preserve">individual companies </w:t>
      </w:r>
      <w:r w:rsidR="00C4617F" w:rsidRPr="009371D6">
        <w:rPr>
          <w:szCs w:val="20"/>
        </w:rPr>
        <w:t xml:space="preserve">operating </w:t>
      </w:r>
      <w:r w:rsidR="00A22B68" w:rsidRPr="009371D6">
        <w:rPr>
          <w:szCs w:val="20"/>
        </w:rPr>
        <w:t>all aspects of production</w:t>
      </w:r>
      <w:r w:rsidR="00C4617F" w:rsidRPr="009371D6">
        <w:rPr>
          <w:szCs w:val="20"/>
        </w:rPr>
        <w:t xml:space="preserve">, from </w:t>
      </w:r>
      <w:r w:rsidR="00A22B68" w:rsidRPr="009371D6">
        <w:rPr>
          <w:szCs w:val="20"/>
        </w:rPr>
        <w:t xml:space="preserve">breeding farms, multiplication farms, hatcheries, feed mills and processing plants. </w:t>
      </w:r>
      <w:r w:rsidR="009D027C" w:rsidRPr="009371D6">
        <w:rPr>
          <w:szCs w:val="20"/>
        </w:rPr>
        <w:t xml:space="preserve">Such integration allows </w:t>
      </w:r>
      <w:r w:rsidR="00517E6A" w:rsidRPr="009371D6">
        <w:rPr>
          <w:szCs w:val="20"/>
        </w:rPr>
        <w:t xml:space="preserve">businesses to focus on </w:t>
      </w:r>
      <w:r w:rsidR="00A22B68" w:rsidRPr="009371D6">
        <w:rPr>
          <w:szCs w:val="20"/>
        </w:rPr>
        <w:t>value-add</w:t>
      </w:r>
      <w:r w:rsidR="00517E6A" w:rsidRPr="009371D6">
        <w:rPr>
          <w:szCs w:val="20"/>
        </w:rPr>
        <w:t xml:space="preserve">ing </w:t>
      </w:r>
      <w:r w:rsidR="008A3EBD" w:rsidRPr="009371D6">
        <w:rPr>
          <w:szCs w:val="20"/>
        </w:rPr>
        <w:t xml:space="preserve">by responding to consumer demand for high welfare </w:t>
      </w:r>
      <w:r w:rsidR="00A22B68" w:rsidRPr="009371D6">
        <w:rPr>
          <w:szCs w:val="20"/>
        </w:rPr>
        <w:t>products</w:t>
      </w:r>
      <w:r w:rsidR="008A3EBD" w:rsidRPr="009371D6">
        <w:rPr>
          <w:szCs w:val="20"/>
        </w:rPr>
        <w:t xml:space="preserve">, including through the certification of organic and free-range meat from </w:t>
      </w:r>
      <w:r w:rsidR="00A22B68" w:rsidRPr="009371D6">
        <w:rPr>
          <w:szCs w:val="20"/>
        </w:rPr>
        <w:t>local produce</w:t>
      </w:r>
      <w:r w:rsidR="008A3EBD" w:rsidRPr="009371D6">
        <w:rPr>
          <w:szCs w:val="20"/>
        </w:rPr>
        <w:t>rs</w:t>
      </w:r>
      <w:r w:rsidR="00E0482F" w:rsidRPr="009371D6">
        <w:rPr>
          <w:szCs w:val="20"/>
        </w:rPr>
        <w:t>.</w:t>
      </w:r>
    </w:p>
    <w:p w14:paraId="659DC5E2" w14:textId="70BD4CAF" w:rsidR="00A85695" w:rsidRDefault="00A85695" w:rsidP="008A3EBD">
      <w:pPr>
        <w:rPr>
          <w:szCs w:val="20"/>
        </w:rPr>
      </w:pPr>
    </w:p>
    <w:p w14:paraId="43DC6DA1" w14:textId="5115608C" w:rsidR="00A85695" w:rsidRPr="009371D6" w:rsidRDefault="00A85695" w:rsidP="00A85695">
      <w:pPr>
        <w:rPr>
          <w:szCs w:val="20"/>
        </w:rPr>
      </w:pPr>
      <w:r w:rsidRPr="009371D6">
        <w:rPr>
          <w:szCs w:val="20"/>
        </w:rPr>
        <w:t>Meat Standards Australia (MSA) was developed by the Australian red meat industry to improve the eating quality consistency of beef</w:t>
      </w:r>
      <w:r>
        <w:rPr>
          <w:szCs w:val="20"/>
        </w:rPr>
        <w:t xml:space="preserve"> and sheep meats</w:t>
      </w:r>
      <w:r w:rsidRPr="009371D6">
        <w:rPr>
          <w:szCs w:val="20"/>
        </w:rPr>
        <w:t>. The system is informed by over one million consumer taste tests that judge how different ‘paddock to plate’ variables (e.g. environmental, feed and genetic differences) impact on final eating quality. These measures are used to project meat quality (articulated as a number between 30 and 80), which is dependent on compliance across a series of critical control points. The MSA provides a consistent industry benchmark, which can be used across all processors, geographic regions and over time</w:t>
      </w:r>
      <w:r w:rsidRPr="009371D6">
        <w:rPr>
          <w:rStyle w:val="FootnoteReference"/>
          <w:sz w:val="20"/>
          <w:szCs w:val="20"/>
        </w:rPr>
        <w:footnoteReference w:id="2"/>
      </w:r>
      <w:r w:rsidRPr="009371D6">
        <w:rPr>
          <w:szCs w:val="20"/>
        </w:rPr>
        <w:t xml:space="preserve">. </w:t>
      </w:r>
    </w:p>
    <w:p w14:paraId="7A669A71" w14:textId="77777777" w:rsidR="00A85695" w:rsidRPr="009371D6" w:rsidRDefault="00A85695" w:rsidP="00A85695">
      <w:pPr>
        <w:rPr>
          <w:szCs w:val="20"/>
          <w:highlight w:val="yellow"/>
        </w:rPr>
      </w:pPr>
    </w:p>
    <w:p w14:paraId="5553DECA" w14:textId="57EA90AC" w:rsidR="00924B18" w:rsidRPr="009371D6" w:rsidRDefault="00924B18" w:rsidP="00924B18">
      <w:pPr>
        <w:rPr>
          <w:szCs w:val="20"/>
        </w:rPr>
      </w:pPr>
      <w:r w:rsidRPr="009371D6">
        <w:rPr>
          <w:szCs w:val="20"/>
        </w:rPr>
        <w:t>Further value</w:t>
      </w:r>
      <w:r w:rsidR="001E1B49" w:rsidRPr="009371D6">
        <w:rPr>
          <w:szCs w:val="20"/>
        </w:rPr>
        <w:t>-</w:t>
      </w:r>
      <w:r w:rsidRPr="009371D6">
        <w:rPr>
          <w:szCs w:val="20"/>
        </w:rPr>
        <w:t>adding to products is being sought through such developments as:</w:t>
      </w:r>
    </w:p>
    <w:p w14:paraId="2521303E" w14:textId="537DDAE6" w:rsidR="007A418D" w:rsidRPr="009371D6" w:rsidRDefault="00A253FA" w:rsidP="00924B18">
      <w:pPr>
        <w:pStyle w:val="ListBullet"/>
        <w:rPr>
          <w:szCs w:val="20"/>
        </w:rPr>
      </w:pPr>
      <w:r w:rsidRPr="009371D6">
        <w:rPr>
          <w:szCs w:val="20"/>
        </w:rPr>
        <w:t>Invest</w:t>
      </w:r>
      <w:r w:rsidR="00924B18" w:rsidRPr="009371D6">
        <w:rPr>
          <w:szCs w:val="20"/>
        </w:rPr>
        <w:t>ments</w:t>
      </w:r>
      <w:r w:rsidRPr="009371D6">
        <w:rPr>
          <w:szCs w:val="20"/>
        </w:rPr>
        <w:t xml:space="preserve"> in automation </w:t>
      </w:r>
      <w:r w:rsidR="00924B18" w:rsidRPr="009371D6">
        <w:rPr>
          <w:szCs w:val="20"/>
        </w:rPr>
        <w:t xml:space="preserve">technology </w:t>
      </w:r>
      <w:r w:rsidRPr="009371D6">
        <w:rPr>
          <w:szCs w:val="20"/>
        </w:rPr>
        <w:t>(</w:t>
      </w:r>
      <w:r w:rsidR="007A418D" w:rsidRPr="009371D6">
        <w:rPr>
          <w:szCs w:val="20"/>
        </w:rPr>
        <w:t xml:space="preserve">to improve workplace </w:t>
      </w:r>
      <w:r w:rsidRPr="009371D6">
        <w:rPr>
          <w:szCs w:val="20"/>
        </w:rPr>
        <w:t>efficienc</w:t>
      </w:r>
      <w:r w:rsidR="007A418D" w:rsidRPr="009371D6">
        <w:rPr>
          <w:szCs w:val="20"/>
        </w:rPr>
        <w:t xml:space="preserve">y and animal </w:t>
      </w:r>
      <w:r w:rsidR="00C034F7" w:rsidRPr="009371D6">
        <w:rPr>
          <w:szCs w:val="20"/>
        </w:rPr>
        <w:t>health</w:t>
      </w:r>
      <w:r w:rsidR="007A418D" w:rsidRPr="009371D6">
        <w:rPr>
          <w:szCs w:val="20"/>
        </w:rPr>
        <w:t xml:space="preserve"> monitoring</w:t>
      </w:r>
      <w:r w:rsidRPr="009371D6">
        <w:rPr>
          <w:szCs w:val="20"/>
        </w:rPr>
        <w:t xml:space="preserve">) </w:t>
      </w:r>
    </w:p>
    <w:p w14:paraId="1D7B68AA" w14:textId="77777777" w:rsidR="00C034F7" w:rsidRPr="009371D6" w:rsidRDefault="00A253FA" w:rsidP="00924B18">
      <w:pPr>
        <w:pStyle w:val="ListBullet"/>
        <w:rPr>
          <w:szCs w:val="20"/>
        </w:rPr>
      </w:pPr>
      <w:r w:rsidRPr="009371D6">
        <w:rPr>
          <w:szCs w:val="20"/>
        </w:rPr>
        <w:t xml:space="preserve">Improving nutritional management and feed use efficiency </w:t>
      </w:r>
    </w:p>
    <w:p w14:paraId="2F9AEF71" w14:textId="77777777" w:rsidR="00C034F7" w:rsidRPr="009371D6" w:rsidRDefault="00A253FA" w:rsidP="00924B18">
      <w:pPr>
        <w:pStyle w:val="ListBullet"/>
        <w:rPr>
          <w:szCs w:val="20"/>
        </w:rPr>
      </w:pPr>
      <w:r w:rsidRPr="009371D6">
        <w:rPr>
          <w:szCs w:val="20"/>
        </w:rPr>
        <w:t xml:space="preserve">Improving biosecurity practices within the supply chain </w:t>
      </w:r>
    </w:p>
    <w:p w14:paraId="115DE9E1" w14:textId="77777777" w:rsidR="00C034F7" w:rsidRPr="009371D6" w:rsidRDefault="00A253FA" w:rsidP="00924B18">
      <w:pPr>
        <w:pStyle w:val="ListBullet"/>
        <w:rPr>
          <w:szCs w:val="20"/>
        </w:rPr>
      </w:pPr>
      <w:r w:rsidRPr="009371D6">
        <w:rPr>
          <w:szCs w:val="20"/>
        </w:rPr>
        <w:t xml:space="preserve">Enhancing chicken welfare and handling methods </w:t>
      </w:r>
    </w:p>
    <w:p w14:paraId="17CB92AC" w14:textId="77777777" w:rsidR="00C034F7" w:rsidRPr="009371D6" w:rsidRDefault="00A253FA" w:rsidP="00924B18">
      <w:pPr>
        <w:pStyle w:val="ListBullet"/>
        <w:rPr>
          <w:szCs w:val="20"/>
        </w:rPr>
      </w:pPr>
      <w:r w:rsidRPr="009371D6">
        <w:rPr>
          <w:szCs w:val="20"/>
        </w:rPr>
        <w:t xml:space="preserve">Management strategies for chicken health </w:t>
      </w:r>
    </w:p>
    <w:p w14:paraId="1EB8A3F4" w14:textId="7741D455" w:rsidR="00D65CE4" w:rsidRPr="009371D6" w:rsidRDefault="00A253FA" w:rsidP="00DE6BAD">
      <w:pPr>
        <w:pStyle w:val="ListBullet2"/>
        <w:rPr>
          <w:szCs w:val="20"/>
        </w:rPr>
      </w:pPr>
      <w:r w:rsidRPr="009371D6">
        <w:rPr>
          <w:szCs w:val="20"/>
        </w:rPr>
        <w:t>Improv</w:t>
      </w:r>
      <w:r w:rsidR="00841578" w:rsidRPr="009371D6">
        <w:rPr>
          <w:szCs w:val="20"/>
        </w:rPr>
        <w:t>ing</w:t>
      </w:r>
      <w:r w:rsidRPr="009371D6">
        <w:rPr>
          <w:szCs w:val="20"/>
        </w:rPr>
        <w:t xml:space="preserve"> the supply chain security by investment in feedstocks, genetics and logistics</w:t>
      </w:r>
      <w:r w:rsidR="00C034F7" w:rsidRPr="009371D6">
        <w:rPr>
          <w:rStyle w:val="FootnoteReference"/>
          <w:sz w:val="20"/>
          <w:szCs w:val="20"/>
        </w:rPr>
        <w:footnoteReference w:id="3"/>
      </w:r>
      <w:r w:rsidR="00841578" w:rsidRPr="009371D6">
        <w:rPr>
          <w:szCs w:val="20"/>
        </w:rPr>
        <w:t>.</w:t>
      </w:r>
    </w:p>
    <w:p w14:paraId="1A489239" w14:textId="38D98C7C" w:rsidR="00DC3DA4" w:rsidRPr="009371D6" w:rsidRDefault="00B243A2" w:rsidP="00DC3DA4">
      <w:pPr>
        <w:rPr>
          <w:szCs w:val="20"/>
        </w:rPr>
      </w:pPr>
      <w:r w:rsidRPr="009371D6">
        <w:rPr>
          <w:szCs w:val="20"/>
        </w:rPr>
        <w:t>Value</w:t>
      </w:r>
      <w:r w:rsidR="00841578" w:rsidRPr="009371D6">
        <w:rPr>
          <w:szCs w:val="20"/>
        </w:rPr>
        <w:t>-</w:t>
      </w:r>
      <w:r w:rsidRPr="009371D6">
        <w:rPr>
          <w:szCs w:val="20"/>
        </w:rPr>
        <w:t xml:space="preserve">adding is also </w:t>
      </w:r>
      <w:r w:rsidR="00E45F2D" w:rsidRPr="009371D6">
        <w:rPr>
          <w:szCs w:val="20"/>
        </w:rPr>
        <w:t>occurring through the diversification of products</w:t>
      </w:r>
      <w:r w:rsidR="00536D72" w:rsidRPr="009371D6">
        <w:rPr>
          <w:szCs w:val="20"/>
        </w:rPr>
        <w:t xml:space="preserve">. Consumer trends have even seen </w:t>
      </w:r>
      <w:r w:rsidR="004042F7" w:rsidRPr="009371D6">
        <w:rPr>
          <w:szCs w:val="20"/>
        </w:rPr>
        <w:t xml:space="preserve">some meat processing companies investing in plant-based </w:t>
      </w:r>
      <w:r w:rsidR="00AF1CA8">
        <w:rPr>
          <w:szCs w:val="20"/>
        </w:rPr>
        <w:t>protein</w:t>
      </w:r>
      <w:r w:rsidR="004042F7" w:rsidRPr="009371D6">
        <w:rPr>
          <w:szCs w:val="20"/>
        </w:rPr>
        <w:t xml:space="preserve"> </w:t>
      </w:r>
      <w:r w:rsidR="00CD0551" w:rsidRPr="009371D6">
        <w:rPr>
          <w:szCs w:val="20"/>
        </w:rPr>
        <w:t>product</w:t>
      </w:r>
      <w:r w:rsidR="009B5BBF" w:rsidRPr="009371D6">
        <w:rPr>
          <w:szCs w:val="20"/>
        </w:rPr>
        <w:t>s</w:t>
      </w:r>
      <w:r w:rsidR="00CD0551" w:rsidRPr="009371D6">
        <w:rPr>
          <w:szCs w:val="20"/>
        </w:rPr>
        <w:t xml:space="preserve">. </w:t>
      </w:r>
      <w:r w:rsidR="009B5BBF" w:rsidRPr="009371D6">
        <w:rPr>
          <w:szCs w:val="20"/>
        </w:rPr>
        <w:t xml:space="preserve">This </w:t>
      </w:r>
      <w:r w:rsidR="00841578" w:rsidRPr="009371D6">
        <w:rPr>
          <w:szCs w:val="20"/>
        </w:rPr>
        <w:t>reflects</w:t>
      </w:r>
      <w:r w:rsidR="009B5BBF" w:rsidRPr="009371D6">
        <w:rPr>
          <w:szCs w:val="20"/>
        </w:rPr>
        <w:t xml:space="preserve"> </w:t>
      </w:r>
      <w:r w:rsidR="006E66CC" w:rsidRPr="009371D6">
        <w:rPr>
          <w:szCs w:val="20"/>
        </w:rPr>
        <w:t>the perceived health and environmental benefits of these products,</w:t>
      </w:r>
      <w:r w:rsidR="001C6E26" w:rsidRPr="009371D6">
        <w:rPr>
          <w:szCs w:val="20"/>
        </w:rPr>
        <w:t xml:space="preserve"> and</w:t>
      </w:r>
      <w:r w:rsidR="006E66CC" w:rsidRPr="009371D6">
        <w:rPr>
          <w:szCs w:val="20"/>
        </w:rPr>
        <w:t xml:space="preserve"> </w:t>
      </w:r>
      <w:r w:rsidR="00913558" w:rsidRPr="009371D6">
        <w:rPr>
          <w:szCs w:val="20"/>
        </w:rPr>
        <w:t>cater</w:t>
      </w:r>
      <w:r w:rsidR="004B4D9A" w:rsidRPr="009371D6">
        <w:rPr>
          <w:szCs w:val="20"/>
        </w:rPr>
        <w:t>s</w:t>
      </w:r>
      <w:r w:rsidR="00913558" w:rsidRPr="009371D6">
        <w:rPr>
          <w:szCs w:val="20"/>
        </w:rPr>
        <w:t xml:space="preserve"> to the </w:t>
      </w:r>
      <w:r w:rsidR="006E66CC" w:rsidRPr="009371D6">
        <w:rPr>
          <w:szCs w:val="20"/>
        </w:rPr>
        <w:t>growing ‘flexitarian’ market</w:t>
      </w:r>
      <w:r w:rsidR="00913558" w:rsidRPr="009371D6">
        <w:rPr>
          <w:szCs w:val="20"/>
        </w:rPr>
        <w:t xml:space="preserve"> </w:t>
      </w:r>
      <w:r w:rsidR="00AA0D95" w:rsidRPr="009371D6">
        <w:rPr>
          <w:szCs w:val="20"/>
        </w:rPr>
        <w:t xml:space="preserve">by providing </w:t>
      </w:r>
      <w:r w:rsidR="00913558" w:rsidRPr="009371D6">
        <w:rPr>
          <w:szCs w:val="20"/>
        </w:rPr>
        <w:t>complement</w:t>
      </w:r>
      <w:r w:rsidR="00AA0D95" w:rsidRPr="009371D6">
        <w:rPr>
          <w:szCs w:val="20"/>
        </w:rPr>
        <w:t>ary</w:t>
      </w:r>
      <w:r w:rsidR="00913558" w:rsidRPr="009371D6">
        <w:rPr>
          <w:szCs w:val="20"/>
        </w:rPr>
        <w:t xml:space="preserve"> meat </w:t>
      </w:r>
      <w:r w:rsidR="00A0696C" w:rsidRPr="009371D6">
        <w:rPr>
          <w:szCs w:val="20"/>
        </w:rPr>
        <w:t>alternatives</w:t>
      </w:r>
      <w:r w:rsidR="00A0696C" w:rsidRPr="009371D6">
        <w:rPr>
          <w:rStyle w:val="FootnoteReference"/>
          <w:sz w:val="20"/>
          <w:szCs w:val="20"/>
        </w:rPr>
        <w:footnoteReference w:id="4"/>
      </w:r>
      <w:r w:rsidR="006E66CC" w:rsidRPr="009371D6">
        <w:rPr>
          <w:szCs w:val="20"/>
        </w:rPr>
        <w:t>.</w:t>
      </w:r>
      <w:r w:rsidR="00A040CD" w:rsidRPr="009371D6">
        <w:rPr>
          <w:szCs w:val="20"/>
        </w:rPr>
        <w:t xml:space="preserve"> This entails the further sharing of skills and practices with plant protein processors already </w:t>
      </w:r>
      <w:r w:rsidR="0091367B" w:rsidRPr="009371D6">
        <w:rPr>
          <w:szCs w:val="20"/>
        </w:rPr>
        <w:t xml:space="preserve">operating and participating in </w:t>
      </w:r>
      <w:r w:rsidR="00105603" w:rsidRPr="009371D6">
        <w:rPr>
          <w:szCs w:val="20"/>
        </w:rPr>
        <w:t>the delivery of the</w:t>
      </w:r>
      <w:r w:rsidR="00520779" w:rsidRPr="009371D6">
        <w:rPr>
          <w:i/>
          <w:szCs w:val="20"/>
        </w:rPr>
        <w:t xml:space="preserve"> </w:t>
      </w:r>
      <w:r w:rsidR="0091367B" w:rsidRPr="009371D6">
        <w:rPr>
          <w:i/>
          <w:iCs/>
          <w:szCs w:val="20"/>
        </w:rPr>
        <w:t xml:space="preserve">Food, Beverage and Pharmaceutical </w:t>
      </w:r>
      <w:r w:rsidR="00A040CD" w:rsidRPr="009371D6">
        <w:rPr>
          <w:i/>
          <w:iCs/>
          <w:szCs w:val="20"/>
        </w:rPr>
        <w:t>Training Package</w:t>
      </w:r>
      <w:r w:rsidR="00525FA8" w:rsidRPr="009371D6">
        <w:rPr>
          <w:szCs w:val="20"/>
        </w:rPr>
        <w:t xml:space="preserve">. </w:t>
      </w:r>
    </w:p>
    <w:p w14:paraId="46EF48F0" w14:textId="09E66B31" w:rsidR="000B1294" w:rsidRDefault="000B1294" w:rsidP="00E94D72">
      <w:pPr>
        <w:pStyle w:val="Heading4"/>
      </w:pPr>
      <w:bookmarkStart w:id="20" w:name="_Toc115363693"/>
      <w:bookmarkStart w:id="21" w:name="Traceabilityprovenance"/>
      <w:r w:rsidRPr="0092463B">
        <w:t xml:space="preserve">Traceability, </w:t>
      </w:r>
      <w:r w:rsidRPr="008E15AE">
        <w:t>provenance and blockchain</w:t>
      </w:r>
      <w:bookmarkEnd w:id="20"/>
    </w:p>
    <w:p w14:paraId="66538EE7" w14:textId="5C2FD6C7" w:rsidR="00DE6860" w:rsidRPr="009371D6" w:rsidRDefault="0042024D" w:rsidP="00D368E6">
      <w:pPr>
        <w:rPr>
          <w:szCs w:val="20"/>
        </w:rPr>
      </w:pPr>
      <w:r w:rsidRPr="009371D6">
        <w:rPr>
          <w:szCs w:val="20"/>
        </w:rPr>
        <w:t xml:space="preserve">The </w:t>
      </w:r>
      <w:r w:rsidRPr="009371D6">
        <w:rPr>
          <w:i/>
          <w:iCs/>
          <w:szCs w:val="20"/>
        </w:rPr>
        <w:t xml:space="preserve">Agribusiness, Food and Fibre Industries Skills Report </w:t>
      </w:r>
      <w:r w:rsidRPr="009371D6">
        <w:rPr>
          <w:szCs w:val="20"/>
        </w:rPr>
        <w:t xml:space="preserve">outlines the increasing importance of traceability </w:t>
      </w:r>
      <w:r w:rsidRPr="009371D6">
        <w:rPr>
          <w:szCs w:val="20"/>
        </w:rPr>
        <w:lastRenderedPageBreak/>
        <w:t xml:space="preserve">and provenance </w:t>
      </w:r>
      <w:r w:rsidR="008B3FFF" w:rsidRPr="009371D6">
        <w:rPr>
          <w:szCs w:val="20"/>
        </w:rPr>
        <w:t xml:space="preserve">information </w:t>
      </w:r>
      <w:r w:rsidRPr="009371D6">
        <w:rPr>
          <w:szCs w:val="20"/>
        </w:rPr>
        <w:t xml:space="preserve">across all </w:t>
      </w:r>
      <w:r w:rsidR="00CC48EF" w:rsidRPr="009371D6">
        <w:rPr>
          <w:szCs w:val="20"/>
        </w:rPr>
        <w:t>value chain</w:t>
      </w:r>
      <w:r w:rsidRPr="009371D6">
        <w:rPr>
          <w:szCs w:val="20"/>
        </w:rPr>
        <w:t xml:space="preserve"> industries.</w:t>
      </w:r>
      <w:r w:rsidR="00863A7B" w:rsidRPr="009371D6">
        <w:rPr>
          <w:szCs w:val="20"/>
        </w:rPr>
        <w:t xml:space="preserve"> </w:t>
      </w:r>
    </w:p>
    <w:p w14:paraId="049EADD2" w14:textId="77777777" w:rsidR="00DE6860" w:rsidRPr="009371D6" w:rsidRDefault="00DE6860" w:rsidP="00D368E6">
      <w:pPr>
        <w:rPr>
          <w:szCs w:val="20"/>
        </w:rPr>
      </w:pPr>
    </w:p>
    <w:p w14:paraId="0B81F1DC" w14:textId="77777777" w:rsidR="00C327D1" w:rsidRPr="009371D6" w:rsidRDefault="00C327D1" w:rsidP="00C327D1">
      <w:pPr>
        <w:rPr>
          <w:szCs w:val="20"/>
        </w:rPr>
      </w:pPr>
      <w:r w:rsidRPr="009371D6">
        <w:rPr>
          <w:szCs w:val="20"/>
        </w:rPr>
        <w:t xml:space="preserve">The </w:t>
      </w:r>
      <w:r w:rsidRPr="009371D6">
        <w:rPr>
          <w:i/>
          <w:iCs/>
          <w:szCs w:val="20"/>
        </w:rPr>
        <w:t>National Protein Roadmap</w:t>
      </w:r>
      <w:r w:rsidRPr="009371D6">
        <w:rPr>
          <w:rStyle w:val="FootnoteReference"/>
          <w:i/>
          <w:iCs/>
          <w:sz w:val="20"/>
          <w:szCs w:val="20"/>
        </w:rPr>
        <w:footnoteReference w:id="5"/>
      </w:r>
      <w:r w:rsidRPr="009371D6">
        <w:rPr>
          <w:i/>
          <w:iCs/>
          <w:szCs w:val="20"/>
        </w:rPr>
        <w:t xml:space="preserve"> </w:t>
      </w:r>
      <w:r w:rsidRPr="009371D6">
        <w:rPr>
          <w:szCs w:val="20"/>
        </w:rPr>
        <w:t xml:space="preserve">defines the first of ten growth opportunities as expanding and improving ‘integrity systems in the red meat sector to help verify the origin of production, support compliance, prevent risks and support research’. Taking advantage of this opportunity could add $1.8 billion in export revenue by 2030. This would require all value chain contributors to participate and upskill in traceability and credentialling systems, as well as being enabled to access real time data so that decision-making becomes increasingly sophisticated and so reduces operational costs and risks, and facilitates better price premiums. </w:t>
      </w:r>
    </w:p>
    <w:p w14:paraId="4B717C36" w14:textId="77777777" w:rsidR="00C327D1" w:rsidRPr="009371D6" w:rsidRDefault="00C327D1" w:rsidP="001E5164">
      <w:pPr>
        <w:rPr>
          <w:szCs w:val="20"/>
        </w:rPr>
      </w:pPr>
    </w:p>
    <w:p w14:paraId="7F3C90D7" w14:textId="6F2DCF2A" w:rsidR="00DD508F" w:rsidRPr="009371D6" w:rsidRDefault="0080211C" w:rsidP="001E5164">
      <w:pPr>
        <w:rPr>
          <w:szCs w:val="20"/>
        </w:rPr>
      </w:pPr>
      <w:r w:rsidRPr="009371D6">
        <w:rPr>
          <w:szCs w:val="20"/>
        </w:rPr>
        <w:t>Product quality</w:t>
      </w:r>
      <w:r w:rsidR="00165693" w:rsidRPr="009371D6">
        <w:rPr>
          <w:szCs w:val="20"/>
        </w:rPr>
        <w:t xml:space="preserve"> </w:t>
      </w:r>
      <w:r w:rsidRPr="009371D6">
        <w:rPr>
          <w:szCs w:val="20"/>
        </w:rPr>
        <w:t xml:space="preserve">and consumer trust are critical to the meat industry’s reputation and prosperity. </w:t>
      </w:r>
      <w:r w:rsidR="00EB098A" w:rsidRPr="009371D6">
        <w:rPr>
          <w:szCs w:val="20"/>
        </w:rPr>
        <w:t xml:space="preserve">To maintain </w:t>
      </w:r>
      <w:r w:rsidR="00165693" w:rsidRPr="009371D6">
        <w:rPr>
          <w:szCs w:val="20"/>
        </w:rPr>
        <w:t>these attributes, b</w:t>
      </w:r>
      <w:r w:rsidRPr="009371D6">
        <w:rPr>
          <w:szCs w:val="20"/>
        </w:rPr>
        <w:t xml:space="preserve">usinesses </w:t>
      </w:r>
      <w:r w:rsidR="00165693" w:rsidRPr="009371D6">
        <w:rPr>
          <w:szCs w:val="20"/>
        </w:rPr>
        <w:t xml:space="preserve">have been </w:t>
      </w:r>
      <w:r w:rsidR="0042024D" w:rsidRPr="009371D6">
        <w:rPr>
          <w:szCs w:val="20"/>
        </w:rPr>
        <w:t>at the forefront of implement</w:t>
      </w:r>
      <w:r w:rsidR="00DE6860" w:rsidRPr="009371D6">
        <w:rPr>
          <w:szCs w:val="20"/>
        </w:rPr>
        <w:t xml:space="preserve">ing and </w:t>
      </w:r>
      <w:r w:rsidR="0042024D" w:rsidRPr="009371D6">
        <w:rPr>
          <w:szCs w:val="20"/>
        </w:rPr>
        <w:t>regulati</w:t>
      </w:r>
      <w:r w:rsidR="00DE6860" w:rsidRPr="009371D6">
        <w:rPr>
          <w:szCs w:val="20"/>
        </w:rPr>
        <w:t>ng</w:t>
      </w:r>
      <w:r w:rsidR="0042024D" w:rsidRPr="009371D6">
        <w:rPr>
          <w:szCs w:val="20"/>
        </w:rPr>
        <w:t xml:space="preserve"> innovati</w:t>
      </w:r>
      <w:r w:rsidR="00DE6860" w:rsidRPr="009371D6">
        <w:rPr>
          <w:szCs w:val="20"/>
        </w:rPr>
        <w:t xml:space="preserve">ve ways of </w:t>
      </w:r>
      <w:r w:rsidR="00866D3F" w:rsidRPr="009371D6">
        <w:rPr>
          <w:szCs w:val="20"/>
        </w:rPr>
        <w:t>verify</w:t>
      </w:r>
      <w:r w:rsidR="00DE6860" w:rsidRPr="009371D6">
        <w:rPr>
          <w:szCs w:val="20"/>
        </w:rPr>
        <w:t>ing</w:t>
      </w:r>
      <w:r w:rsidR="00866D3F" w:rsidRPr="009371D6">
        <w:rPr>
          <w:szCs w:val="20"/>
        </w:rPr>
        <w:t xml:space="preserve"> the biological and geographical origin of produce and maintain</w:t>
      </w:r>
      <w:r w:rsidR="00DE6860" w:rsidRPr="009371D6">
        <w:rPr>
          <w:szCs w:val="20"/>
        </w:rPr>
        <w:t>ing</w:t>
      </w:r>
      <w:r w:rsidR="00866D3F" w:rsidRPr="009371D6">
        <w:rPr>
          <w:szCs w:val="20"/>
        </w:rPr>
        <w:t xml:space="preserve"> food safety standards.</w:t>
      </w:r>
      <w:r w:rsidR="00DE6860" w:rsidRPr="009371D6">
        <w:rPr>
          <w:szCs w:val="20"/>
        </w:rPr>
        <w:t xml:space="preserve"> </w:t>
      </w:r>
    </w:p>
    <w:p w14:paraId="3D3775EF" w14:textId="77777777" w:rsidR="00DD508F" w:rsidRPr="009371D6" w:rsidRDefault="00DD508F" w:rsidP="001E5164">
      <w:pPr>
        <w:rPr>
          <w:szCs w:val="20"/>
        </w:rPr>
      </w:pPr>
    </w:p>
    <w:p w14:paraId="67D7B5D4" w14:textId="7F626534" w:rsidR="001E5164" w:rsidRPr="009371D6" w:rsidRDefault="001E5164" w:rsidP="001E5164">
      <w:pPr>
        <w:rPr>
          <w:szCs w:val="20"/>
        </w:rPr>
      </w:pPr>
      <w:r w:rsidRPr="009371D6">
        <w:rPr>
          <w:szCs w:val="20"/>
        </w:rPr>
        <w:t xml:space="preserve">The traceability of </w:t>
      </w:r>
      <w:r w:rsidR="0073195D" w:rsidRPr="009371D6">
        <w:rPr>
          <w:szCs w:val="20"/>
        </w:rPr>
        <w:t xml:space="preserve">animals and </w:t>
      </w:r>
      <w:r w:rsidRPr="009371D6">
        <w:rPr>
          <w:szCs w:val="20"/>
        </w:rPr>
        <w:t xml:space="preserve">meat products requires systems and arrangements that track </w:t>
      </w:r>
      <w:r w:rsidR="00582B64" w:rsidRPr="009371D6">
        <w:rPr>
          <w:szCs w:val="20"/>
        </w:rPr>
        <w:t xml:space="preserve">movement </w:t>
      </w:r>
      <w:r w:rsidR="007812AB" w:rsidRPr="009371D6">
        <w:rPr>
          <w:szCs w:val="20"/>
        </w:rPr>
        <w:t xml:space="preserve">across all stages of the supply chain, </w:t>
      </w:r>
      <w:r w:rsidR="00C21C96" w:rsidRPr="009371D6">
        <w:rPr>
          <w:szCs w:val="20"/>
        </w:rPr>
        <w:t>including</w:t>
      </w:r>
      <w:r w:rsidR="00AB5CA6" w:rsidRPr="009371D6">
        <w:rPr>
          <w:szCs w:val="20"/>
        </w:rPr>
        <w:t xml:space="preserve"> </w:t>
      </w:r>
      <w:r w:rsidR="007812AB" w:rsidRPr="009371D6">
        <w:rPr>
          <w:szCs w:val="20"/>
        </w:rPr>
        <w:t>farm</w:t>
      </w:r>
      <w:r w:rsidR="00AB5CA6" w:rsidRPr="009371D6">
        <w:rPr>
          <w:szCs w:val="20"/>
        </w:rPr>
        <w:t>s</w:t>
      </w:r>
      <w:r w:rsidR="007812AB" w:rsidRPr="009371D6">
        <w:rPr>
          <w:szCs w:val="20"/>
        </w:rPr>
        <w:t>, feedlots, transporters, saleyards, process</w:t>
      </w:r>
      <w:r w:rsidR="00275761" w:rsidRPr="009371D6">
        <w:rPr>
          <w:szCs w:val="20"/>
        </w:rPr>
        <w:t>i</w:t>
      </w:r>
      <w:r w:rsidR="00111DE1" w:rsidRPr="009371D6">
        <w:rPr>
          <w:szCs w:val="20"/>
        </w:rPr>
        <w:t>ng facilities</w:t>
      </w:r>
      <w:r w:rsidR="007812AB" w:rsidRPr="009371D6">
        <w:rPr>
          <w:szCs w:val="20"/>
        </w:rPr>
        <w:t xml:space="preserve"> and export</w:t>
      </w:r>
      <w:r w:rsidR="00111DE1" w:rsidRPr="009371D6">
        <w:rPr>
          <w:szCs w:val="20"/>
        </w:rPr>
        <w:t xml:space="preserve"> pathways</w:t>
      </w:r>
      <w:r w:rsidR="007812AB" w:rsidRPr="009371D6">
        <w:rPr>
          <w:rStyle w:val="FootnoteReference"/>
          <w:sz w:val="20"/>
          <w:szCs w:val="20"/>
        </w:rPr>
        <w:footnoteReference w:id="6"/>
      </w:r>
      <w:r w:rsidR="007812AB" w:rsidRPr="009371D6">
        <w:rPr>
          <w:szCs w:val="20"/>
        </w:rPr>
        <w:t>.</w:t>
      </w:r>
      <w:r w:rsidR="00C27ED6" w:rsidRPr="009371D6">
        <w:rPr>
          <w:szCs w:val="20"/>
        </w:rPr>
        <w:t xml:space="preserve"> </w:t>
      </w:r>
      <w:r w:rsidR="00582B64" w:rsidRPr="009371D6">
        <w:rPr>
          <w:szCs w:val="20"/>
        </w:rPr>
        <w:t xml:space="preserve">Further information </w:t>
      </w:r>
      <w:r w:rsidR="001F6406">
        <w:rPr>
          <w:szCs w:val="20"/>
        </w:rPr>
        <w:t>may be</w:t>
      </w:r>
      <w:r w:rsidR="00582B64" w:rsidRPr="009371D6">
        <w:rPr>
          <w:szCs w:val="20"/>
        </w:rPr>
        <w:t xml:space="preserve"> </w:t>
      </w:r>
      <w:r w:rsidR="00932EF0" w:rsidRPr="009371D6">
        <w:rPr>
          <w:szCs w:val="20"/>
        </w:rPr>
        <w:t>tracked</w:t>
      </w:r>
      <w:r w:rsidR="00582B64" w:rsidRPr="009371D6">
        <w:rPr>
          <w:szCs w:val="20"/>
        </w:rPr>
        <w:t xml:space="preserve"> and verified on </w:t>
      </w:r>
      <w:r w:rsidR="00B207DB" w:rsidRPr="009371D6">
        <w:rPr>
          <w:szCs w:val="20"/>
        </w:rPr>
        <w:t xml:space="preserve">how meat products have been produced, including </w:t>
      </w:r>
      <w:r w:rsidR="00932EF0" w:rsidRPr="009371D6">
        <w:rPr>
          <w:szCs w:val="20"/>
        </w:rPr>
        <w:t xml:space="preserve">the </w:t>
      </w:r>
      <w:r w:rsidR="00B207DB" w:rsidRPr="009371D6">
        <w:rPr>
          <w:szCs w:val="20"/>
        </w:rPr>
        <w:t>origin of ingredients</w:t>
      </w:r>
      <w:r w:rsidR="00CB6A31" w:rsidRPr="009371D6">
        <w:rPr>
          <w:szCs w:val="20"/>
        </w:rPr>
        <w:t xml:space="preserve"> (provenance)</w:t>
      </w:r>
      <w:r w:rsidR="00B207DB" w:rsidRPr="009371D6">
        <w:rPr>
          <w:szCs w:val="20"/>
        </w:rPr>
        <w:t xml:space="preserve">, </w:t>
      </w:r>
      <w:r w:rsidR="00932EF0" w:rsidRPr="009371D6">
        <w:rPr>
          <w:szCs w:val="20"/>
        </w:rPr>
        <w:t xml:space="preserve">animal </w:t>
      </w:r>
      <w:r w:rsidR="00B207DB" w:rsidRPr="009371D6">
        <w:rPr>
          <w:szCs w:val="20"/>
        </w:rPr>
        <w:t xml:space="preserve">nutrition, </w:t>
      </w:r>
      <w:r w:rsidR="00C76F5F" w:rsidRPr="009371D6">
        <w:rPr>
          <w:szCs w:val="20"/>
        </w:rPr>
        <w:t xml:space="preserve">animal handling, </w:t>
      </w:r>
      <w:r w:rsidR="00B207DB" w:rsidRPr="009371D6">
        <w:rPr>
          <w:szCs w:val="20"/>
        </w:rPr>
        <w:t xml:space="preserve">sustainable packaging, fair trade </w:t>
      </w:r>
      <w:r w:rsidR="00B565FC" w:rsidRPr="009371D6">
        <w:rPr>
          <w:szCs w:val="20"/>
        </w:rPr>
        <w:t>arrangements</w:t>
      </w:r>
      <w:r w:rsidR="00AA73CA" w:rsidRPr="009371D6">
        <w:rPr>
          <w:szCs w:val="20"/>
        </w:rPr>
        <w:t>,</w:t>
      </w:r>
      <w:r w:rsidR="00B207DB" w:rsidRPr="009371D6">
        <w:rPr>
          <w:szCs w:val="20"/>
        </w:rPr>
        <w:t xml:space="preserve"> organic</w:t>
      </w:r>
      <w:r w:rsidR="00AA73CA" w:rsidRPr="009371D6">
        <w:rPr>
          <w:szCs w:val="20"/>
        </w:rPr>
        <w:t xml:space="preserve"> status</w:t>
      </w:r>
      <w:r w:rsidR="00B207DB" w:rsidRPr="009371D6">
        <w:rPr>
          <w:szCs w:val="20"/>
        </w:rPr>
        <w:t xml:space="preserve">, </w:t>
      </w:r>
      <w:r w:rsidR="0069032A" w:rsidRPr="009371D6">
        <w:rPr>
          <w:szCs w:val="20"/>
        </w:rPr>
        <w:t xml:space="preserve">methods of transportation, </w:t>
      </w:r>
      <w:r w:rsidR="00B207DB" w:rsidRPr="009371D6">
        <w:rPr>
          <w:szCs w:val="20"/>
        </w:rPr>
        <w:t xml:space="preserve">labour conditions, carbon footprint, water use, animal welfare, chemical residues and </w:t>
      </w:r>
      <w:r w:rsidR="00AA73CA" w:rsidRPr="009371D6">
        <w:rPr>
          <w:szCs w:val="20"/>
        </w:rPr>
        <w:t xml:space="preserve">production </w:t>
      </w:r>
      <w:r w:rsidR="00B207DB" w:rsidRPr="009371D6">
        <w:rPr>
          <w:szCs w:val="20"/>
        </w:rPr>
        <w:t xml:space="preserve">impacts </w:t>
      </w:r>
      <w:r w:rsidR="00AA73CA" w:rsidRPr="009371D6">
        <w:rPr>
          <w:szCs w:val="20"/>
        </w:rPr>
        <w:t xml:space="preserve">on </w:t>
      </w:r>
      <w:r w:rsidR="00B207DB" w:rsidRPr="009371D6">
        <w:rPr>
          <w:szCs w:val="20"/>
        </w:rPr>
        <w:t>biodiversity and air quality</w:t>
      </w:r>
      <w:r w:rsidR="00AA73CA" w:rsidRPr="009371D6">
        <w:rPr>
          <w:rStyle w:val="FootnoteReference"/>
          <w:sz w:val="20"/>
          <w:szCs w:val="20"/>
        </w:rPr>
        <w:footnoteReference w:id="7"/>
      </w:r>
      <w:r w:rsidR="00B207DB" w:rsidRPr="009371D6">
        <w:rPr>
          <w:szCs w:val="20"/>
        </w:rPr>
        <w:t xml:space="preserve">. </w:t>
      </w:r>
      <w:r w:rsidR="00C56C9A" w:rsidRPr="009371D6">
        <w:rPr>
          <w:szCs w:val="20"/>
        </w:rPr>
        <w:t>This</w:t>
      </w:r>
      <w:r w:rsidR="0077507D" w:rsidRPr="009371D6">
        <w:rPr>
          <w:szCs w:val="20"/>
        </w:rPr>
        <w:t xml:space="preserve"> </w:t>
      </w:r>
      <w:r w:rsidR="000F7DB6" w:rsidRPr="009371D6">
        <w:rPr>
          <w:szCs w:val="20"/>
        </w:rPr>
        <w:t xml:space="preserve">not only </w:t>
      </w:r>
      <w:r w:rsidR="00C350B8" w:rsidRPr="009371D6">
        <w:rPr>
          <w:szCs w:val="20"/>
        </w:rPr>
        <w:t xml:space="preserve">provides businesses with data to help </w:t>
      </w:r>
      <w:r w:rsidR="00FB4A9B" w:rsidRPr="009371D6">
        <w:rPr>
          <w:szCs w:val="20"/>
        </w:rPr>
        <w:t>control and optimis</w:t>
      </w:r>
      <w:r w:rsidR="00522AD8" w:rsidRPr="009371D6">
        <w:rPr>
          <w:szCs w:val="20"/>
        </w:rPr>
        <w:t>e</w:t>
      </w:r>
      <w:r w:rsidR="00FB4A9B" w:rsidRPr="009371D6">
        <w:rPr>
          <w:szCs w:val="20"/>
        </w:rPr>
        <w:t xml:space="preserve"> processing activities</w:t>
      </w:r>
      <w:r w:rsidR="000F7DB6" w:rsidRPr="009371D6">
        <w:rPr>
          <w:szCs w:val="20"/>
        </w:rPr>
        <w:t xml:space="preserve"> (including regulatory compliance and </w:t>
      </w:r>
      <w:r w:rsidR="00B60271" w:rsidRPr="009371D6">
        <w:rPr>
          <w:szCs w:val="20"/>
        </w:rPr>
        <w:t xml:space="preserve">guaranteeing </w:t>
      </w:r>
      <w:r w:rsidR="000F7DB6" w:rsidRPr="009371D6">
        <w:rPr>
          <w:szCs w:val="20"/>
        </w:rPr>
        <w:t>food safety standards</w:t>
      </w:r>
      <w:r w:rsidR="00B60271" w:rsidRPr="009371D6">
        <w:rPr>
          <w:szCs w:val="20"/>
        </w:rPr>
        <w:t>)</w:t>
      </w:r>
      <w:r w:rsidR="00FB4A9B" w:rsidRPr="009371D6">
        <w:rPr>
          <w:szCs w:val="20"/>
        </w:rPr>
        <w:t xml:space="preserve">, </w:t>
      </w:r>
      <w:r w:rsidR="00311023" w:rsidRPr="009371D6">
        <w:rPr>
          <w:szCs w:val="20"/>
        </w:rPr>
        <w:t>it</w:t>
      </w:r>
      <w:r w:rsidR="00B60271" w:rsidRPr="009371D6">
        <w:rPr>
          <w:szCs w:val="20"/>
        </w:rPr>
        <w:t xml:space="preserve"> also </w:t>
      </w:r>
      <w:r w:rsidR="00CB6A31" w:rsidRPr="009371D6">
        <w:rPr>
          <w:szCs w:val="20"/>
        </w:rPr>
        <w:t xml:space="preserve">provides </w:t>
      </w:r>
      <w:r w:rsidR="00FB4A9B" w:rsidRPr="009371D6">
        <w:rPr>
          <w:szCs w:val="20"/>
        </w:rPr>
        <w:t xml:space="preserve">consumers with </w:t>
      </w:r>
      <w:r w:rsidR="00C350B8" w:rsidRPr="009371D6">
        <w:rPr>
          <w:szCs w:val="20"/>
        </w:rPr>
        <w:t xml:space="preserve">evidence </w:t>
      </w:r>
      <w:r w:rsidR="00FB4A9B" w:rsidRPr="009371D6">
        <w:rPr>
          <w:szCs w:val="20"/>
        </w:rPr>
        <w:t xml:space="preserve">of </w:t>
      </w:r>
      <w:r w:rsidR="001853C2" w:rsidRPr="009371D6">
        <w:rPr>
          <w:szCs w:val="20"/>
        </w:rPr>
        <w:t>desirable product characteristics</w:t>
      </w:r>
      <w:r w:rsidR="00B027E1" w:rsidRPr="009371D6">
        <w:rPr>
          <w:szCs w:val="20"/>
        </w:rPr>
        <w:t xml:space="preserve">, </w:t>
      </w:r>
      <w:r w:rsidR="004A0F05" w:rsidRPr="009371D6">
        <w:rPr>
          <w:szCs w:val="20"/>
        </w:rPr>
        <w:t xml:space="preserve">which are </w:t>
      </w:r>
      <w:r w:rsidR="00B027E1" w:rsidRPr="009371D6">
        <w:rPr>
          <w:szCs w:val="20"/>
        </w:rPr>
        <w:t>displayed on websites</w:t>
      </w:r>
      <w:r w:rsidR="00803E5D" w:rsidRPr="009371D6">
        <w:rPr>
          <w:szCs w:val="20"/>
        </w:rPr>
        <w:t>,</w:t>
      </w:r>
      <w:r w:rsidR="00B027E1" w:rsidRPr="009371D6">
        <w:rPr>
          <w:szCs w:val="20"/>
        </w:rPr>
        <w:t xml:space="preserve"> product packaging and labels</w:t>
      </w:r>
      <w:r w:rsidR="008705E5" w:rsidRPr="009371D6">
        <w:rPr>
          <w:szCs w:val="20"/>
        </w:rPr>
        <w:t xml:space="preserve"> (including with the use of QR codes)</w:t>
      </w:r>
      <w:r w:rsidR="00B027E1" w:rsidRPr="009371D6">
        <w:rPr>
          <w:szCs w:val="20"/>
        </w:rPr>
        <w:t>.</w:t>
      </w:r>
    </w:p>
    <w:p w14:paraId="6630591E" w14:textId="599D3F67" w:rsidR="001E5164" w:rsidRPr="009371D6" w:rsidRDefault="001E5164" w:rsidP="00D368E6">
      <w:pPr>
        <w:rPr>
          <w:szCs w:val="20"/>
        </w:rPr>
      </w:pPr>
    </w:p>
    <w:p w14:paraId="2DDBAEDD" w14:textId="33F5C0D5" w:rsidR="00DA5EA9" w:rsidRDefault="007F22C9" w:rsidP="00DA5EA9">
      <w:pPr>
        <w:rPr>
          <w:szCs w:val="20"/>
        </w:rPr>
      </w:pPr>
      <w:r w:rsidRPr="009371D6">
        <w:rPr>
          <w:szCs w:val="20"/>
        </w:rPr>
        <w:t>Additionally, t</w:t>
      </w:r>
      <w:r w:rsidR="00DA5EA9" w:rsidRPr="009371D6">
        <w:rPr>
          <w:szCs w:val="20"/>
        </w:rPr>
        <w:t>echnological solutions</w:t>
      </w:r>
      <w:r w:rsidR="00017CD5" w:rsidRPr="009371D6">
        <w:rPr>
          <w:szCs w:val="20"/>
        </w:rPr>
        <w:t>,</w:t>
      </w:r>
      <w:r w:rsidR="00DA5EA9" w:rsidRPr="009371D6">
        <w:rPr>
          <w:szCs w:val="20"/>
        </w:rPr>
        <w:t xml:space="preserve"> such as </w:t>
      </w:r>
      <w:r w:rsidR="00017CD5" w:rsidRPr="009371D6">
        <w:rPr>
          <w:szCs w:val="20"/>
        </w:rPr>
        <w:t>b</w:t>
      </w:r>
      <w:r w:rsidR="00DA5EA9" w:rsidRPr="009371D6">
        <w:rPr>
          <w:szCs w:val="20"/>
        </w:rPr>
        <w:t>lockchain, can validate sourcing claims</w:t>
      </w:r>
      <w:r w:rsidR="002A67A9" w:rsidRPr="009371D6">
        <w:rPr>
          <w:szCs w:val="20"/>
        </w:rPr>
        <w:t xml:space="preserve"> and so</w:t>
      </w:r>
      <w:r w:rsidR="00DA5EA9" w:rsidRPr="009371D6">
        <w:rPr>
          <w:szCs w:val="20"/>
        </w:rPr>
        <w:t xml:space="preserve"> combat food fraud</w:t>
      </w:r>
      <w:r w:rsidR="005C45F3" w:rsidRPr="009371D6">
        <w:rPr>
          <w:szCs w:val="20"/>
        </w:rPr>
        <w:t xml:space="preserve">, which remains an expensive challenge </w:t>
      </w:r>
      <w:r w:rsidR="003948CE" w:rsidRPr="009371D6">
        <w:rPr>
          <w:szCs w:val="20"/>
        </w:rPr>
        <w:t>and</w:t>
      </w:r>
      <w:r w:rsidR="00200957" w:rsidRPr="009371D6">
        <w:rPr>
          <w:szCs w:val="20"/>
        </w:rPr>
        <w:t xml:space="preserve"> continues to </w:t>
      </w:r>
      <w:r w:rsidR="00EE41A9" w:rsidRPr="009371D6">
        <w:rPr>
          <w:szCs w:val="20"/>
        </w:rPr>
        <w:t>harm</w:t>
      </w:r>
      <w:r w:rsidR="00DB57F3" w:rsidRPr="009371D6">
        <w:rPr>
          <w:szCs w:val="20"/>
        </w:rPr>
        <w:t xml:space="preserve"> ‘Brand Australia’</w:t>
      </w:r>
      <w:r w:rsidR="00200957" w:rsidRPr="009371D6">
        <w:rPr>
          <w:rStyle w:val="FootnoteReference"/>
          <w:sz w:val="20"/>
          <w:szCs w:val="20"/>
        </w:rPr>
        <w:footnoteReference w:id="8"/>
      </w:r>
      <w:r w:rsidR="00EE41A9" w:rsidRPr="009371D6">
        <w:rPr>
          <w:szCs w:val="20"/>
        </w:rPr>
        <w:t>.</w:t>
      </w:r>
      <w:r w:rsidR="003948CE" w:rsidRPr="009371D6">
        <w:rPr>
          <w:szCs w:val="20"/>
        </w:rPr>
        <w:t xml:space="preserve"> </w:t>
      </w:r>
      <w:r w:rsidR="00BC4928" w:rsidRPr="009371D6">
        <w:rPr>
          <w:szCs w:val="20"/>
        </w:rPr>
        <w:t xml:space="preserve">Traceability systems also allow the swift identification of any </w:t>
      </w:r>
      <w:r w:rsidR="00083E53" w:rsidRPr="009371D6">
        <w:rPr>
          <w:szCs w:val="20"/>
        </w:rPr>
        <w:t>sources of food contamination</w:t>
      </w:r>
      <w:r w:rsidR="009706E6" w:rsidRPr="009371D6">
        <w:rPr>
          <w:szCs w:val="20"/>
        </w:rPr>
        <w:t xml:space="preserve">, as occurred </w:t>
      </w:r>
      <w:r w:rsidR="00E502C3" w:rsidRPr="009371D6">
        <w:rPr>
          <w:szCs w:val="20"/>
        </w:rPr>
        <w:t xml:space="preserve">in 2021 </w:t>
      </w:r>
      <w:r w:rsidR="009706E6" w:rsidRPr="009371D6">
        <w:rPr>
          <w:szCs w:val="20"/>
        </w:rPr>
        <w:t xml:space="preserve">with the </w:t>
      </w:r>
      <w:r w:rsidR="00EC0869" w:rsidRPr="009371D6">
        <w:rPr>
          <w:szCs w:val="20"/>
        </w:rPr>
        <w:t xml:space="preserve">tracing of </w:t>
      </w:r>
      <w:r w:rsidR="00E502C3" w:rsidRPr="009371D6">
        <w:rPr>
          <w:szCs w:val="20"/>
        </w:rPr>
        <w:t xml:space="preserve">tainted </w:t>
      </w:r>
      <w:r w:rsidR="00F87813" w:rsidRPr="009371D6">
        <w:rPr>
          <w:szCs w:val="20"/>
        </w:rPr>
        <w:t xml:space="preserve">horse meat </w:t>
      </w:r>
      <w:r w:rsidR="00E502C3" w:rsidRPr="009371D6">
        <w:rPr>
          <w:szCs w:val="20"/>
        </w:rPr>
        <w:t>in pet food</w:t>
      </w:r>
      <w:r w:rsidR="00E502C3" w:rsidRPr="009371D6">
        <w:rPr>
          <w:rStyle w:val="FootnoteReference"/>
          <w:sz w:val="20"/>
          <w:szCs w:val="20"/>
        </w:rPr>
        <w:footnoteReference w:id="9"/>
      </w:r>
      <w:r w:rsidR="00E502C3" w:rsidRPr="009371D6">
        <w:rPr>
          <w:szCs w:val="20"/>
        </w:rPr>
        <w:t>.</w:t>
      </w:r>
    </w:p>
    <w:p w14:paraId="16433895" w14:textId="77777777" w:rsidR="00043A2B" w:rsidRPr="00043A2B" w:rsidRDefault="00043A2B" w:rsidP="00043A2B">
      <w:pPr>
        <w:pStyle w:val="Heading4"/>
      </w:pPr>
      <w:bookmarkStart w:id="22" w:name="_Toc99029480"/>
      <w:bookmarkStart w:id="23" w:name="_Toc112858579"/>
      <w:bookmarkStart w:id="24" w:name="_Toc115363694"/>
      <w:r w:rsidRPr="00043A2B">
        <w:t>Current crossovers and divisions of the value chain in the VET system</w:t>
      </w:r>
      <w:bookmarkEnd w:id="22"/>
      <w:bookmarkEnd w:id="23"/>
      <w:bookmarkEnd w:id="24"/>
    </w:p>
    <w:p w14:paraId="2BDE6E4B" w14:textId="1D732A40" w:rsidR="00043A2B" w:rsidRPr="00043A2B" w:rsidRDefault="00043A2B" w:rsidP="00043A2B">
      <w:pPr>
        <w:tabs>
          <w:tab w:val="left" w:pos="7371"/>
        </w:tabs>
      </w:pPr>
      <w:r>
        <w:t>The Australian meat</w:t>
      </w:r>
      <w:r w:rsidRPr="00043A2B">
        <w:t xml:space="preserve"> </w:t>
      </w:r>
      <w:r>
        <w:t xml:space="preserve">industry </w:t>
      </w:r>
      <w:r w:rsidRPr="00043A2B">
        <w:t xml:space="preserve">has critical value chain connections to other industries, as outlined in detail in the </w:t>
      </w:r>
      <w:r w:rsidRPr="00043A2B">
        <w:rPr>
          <w:i/>
          <w:iCs/>
        </w:rPr>
        <w:t>Agribusiness, Food and Fibre Industries Skills Report</w:t>
      </w:r>
      <w:r w:rsidRPr="00043A2B">
        <w:t xml:space="preserve">. </w:t>
      </w:r>
    </w:p>
    <w:p w14:paraId="0F39F5A3" w14:textId="77777777" w:rsidR="00043A2B" w:rsidRPr="00043A2B" w:rsidRDefault="00043A2B" w:rsidP="00043A2B">
      <w:pPr>
        <w:tabs>
          <w:tab w:val="left" w:pos="7371"/>
        </w:tabs>
      </w:pPr>
    </w:p>
    <w:p w14:paraId="3D911F25" w14:textId="77777777" w:rsidR="00043A2B" w:rsidRPr="00043A2B" w:rsidRDefault="00043A2B" w:rsidP="00043A2B">
      <w:pPr>
        <w:tabs>
          <w:tab w:val="left" w:pos="7371"/>
        </w:tabs>
      </w:pPr>
      <w:r w:rsidRPr="00043A2B">
        <w:t>Current cross-overs requiring collaboration include:</w:t>
      </w:r>
    </w:p>
    <w:p w14:paraId="03649960" w14:textId="74E110A8" w:rsidR="00043A2B" w:rsidRPr="00043A2B" w:rsidRDefault="00043A2B" w:rsidP="00043A2B">
      <w:pPr>
        <w:numPr>
          <w:ilvl w:val="0"/>
          <w:numId w:val="1"/>
        </w:numPr>
        <w:spacing w:before="120" w:after="120"/>
      </w:pPr>
      <w:r w:rsidRPr="00043A2B">
        <w:t xml:space="preserve">Agriculture, </w:t>
      </w:r>
      <w:r>
        <w:t>food and beverage</w:t>
      </w:r>
      <w:r w:rsidRPr="00043A2B">
        <w:t xml:space="preserve">, </w:t>
      </w:r>
      <w:r>
        <w:t>s</w:t>
      </w:r>
      <w:r w:rsidRPr="00043A2B">
        <w:t xml:space="preserve">eafood and </w:t>
      </w:r>
      <w:r>
        <w:t>c</w:t>
      </w:r>
      <w:r w:rsidRPr="00043A2B">
        <w:t>rops</w:t>
      </w:r>
    </w:p>
    <w:p w14:paraId="455C9D90" w14:textId="081B4BAB" w:rsidR="00043A2B" w:rsidRPr="00043A2B" w:rsidRDefault="00043A2B" w:rsidP="00043A2B">
      <w:pPr>
        <w:numPr>
          <w:ilvl w:val="1"/>
          <w:numId w:val="43"/>
        </w:numPr>
        <w:tabs>
          <w:tab w:val="left" w:pos="7371"/>
        </w:tabs>
        <w:contextualSpacing/>
        <w:rPr>
          <w:lang w:eastAsia="en-AU"/>
        </w:rPr>
      </w:pPr>
      <w:r w:rsidRPr="00043A2B">
        <w:rPr>
          <w:lang w:eastAsia="en-AU"/>
        </w:rPr>
        <w:t xml:space="preserve">Industries which </w:t>
      </w:r>
      <w:r>
        <w:rPr>
          <w:lang w:eastAsia="en-AU"/>
        </w:rPr>
        <w:t>have direct links to meat</w:t>
      </w:r>
      <w:r w:rsidRPr="00043A2B">
        <w:rPr>
          <w:lang w:eastAsia="en-AU"/>
        </w:rPr>
        <w:t xml:space="preserve"> </w:t>
      </w:r>
      <w:r w:rsidR="009B0C9E">
        <w:rPr>
          <w:lang w:eastAsia="en-AU"/>
        </w:rPr>
        <w:t xml:space="preserve">production and </w:t>
      </w:r>
      <w:r w:rsidRPr="00043A2B">
        <w:rPr>
          <w:lang w:eastAsia="en-AU"/>
        </w:rPr>
        <w:t xml:space="preserve">processing are covered through a number of Training Packages, including Agriculture, Horticulture and Conservation &amp; Land Management (AHC), </w:t>
      </w:r>
      <w:r>
        <w:rPr>
          <w:lang w:eastAsia="en-AU"/>
        </w:rPr>
        <w:t>Food, Beverage and Pharmaceutical Processing</w:t>
      </w:r>
      <w:r w:rsidRPr="00043A2B">
        <w:rPr>
          <w:lang w:eastAsia="en-AU"/>
        </w:rPr>
        <w:t xml:space="preserve"> (</w:t>
      </w:r>
      <w:r>
        <w:rPr>
          <w:lang w:eastAsia="en-AU"/>
        </w:rPr>
        <w:t>FBP</w:t>
      </w:r>
      <w:r w:rsidRPr="00043A2B">
        <w:rPr>
          <w:lang w:eastAsia="en-AU"/>
        </w:rPr>
        <w:t>), and Seafood Industries (SFI)</w:t>
      </w:r>
    </w:p>
    <w:p w14:paraId="0D15852B" w14:textId="03BC5C65" w:rsidR="00043A2B" w:rsidRPr="00043A2B" w:rsidRDefault="00043A2B" w:rsidP="00043A2B">
      <w:pPr>
        <w:numPr>
          <w:ilvl w:val="0"/>
          <w:numId w:val="1"/>
        </w:numPr>
        <w:spacing w:before="120" w:after="120"/>
      </w:pPr>
      <w:r w:rsidRPr="00043A2B">
        <w:t>Groceries and food wholesalers, retailers and exporters</w:t>
      </w:r>
    </w:p>
    <w:p w14:paraId="0DA26CA9" w14:textId="57F91B8D" w:rsidR="00043A2B" w:rsidRPr="00043A2B" w:rsidRDefault="00043A2B" w:rsidP="00043A2B">
      <w:pPr>
        <w:numPr>
          <w:ilvl w:val="1"/>
          <w:numId w:val="43"/>
        </w:numPr>
        <w:tabs>
          <w:tab w:val="left" w:pos="7371"/>
        </w:tabs>
        <w:contextualSpacing/>
        <w:rPr>
          <w:lang w:eastAsia="en-AU"/>
        </w:rPr>
      </w:pPr>
      <w:r w:rsidRPr="00043A2B">
        <w:rPr>
          <w:lang w:eastAsia="en-AU"/>
        </w:rPr>
        <w:t xml:space="preserve">Range of industries associated with consumer-facing food services from supermarkets and food service industries to the local delicatessen, as well export to international markets. </w:t>
      </w:r>
      <w:r w:rsidRPr="00043A2B">
        <w:rPr>
          <w:lang w:eastAsia="en-AU"/>
        </w:rPr>
        <w:lastRenderedPageBreak/>
        <w:t>This includes skills covered in the Retail Services (SIR) Training Package</w:t>
      </w:r>
    </w:p>
    <w:p w14:paraId="4726B7F0" w14:textId="77777777" w:rsidR="00043A2B" w:rsidRPr="00043A2B" w:rsidRDefault="00043A2B" w:rsidP="00043A2B">
      <w:pPr>
        <w:numPr>
          <w:ilvl w:val="0"/>
          <w:numId w:val="1"/>
        </w:numPr>
        <w:spacing w:before="120" w:after="120"/>
      </w:pPr>
      <w:r w:rsidRPr="00043A2B">
        <w:t>Regulation Services</w:t>
      </w:r>
    </w:p>
    <w:p w14:paraId="336B4D3A" w14:textId="30B47128" w:rsidR="00043A2B" w:rsidRPr="00043A2B" w:rsidRDefault="00043A2B" w:rsidP="00043A2B">
      <w:pPr>
        <w:numPr>
          <w:ilvl w:val="1"/>
          <w:numId w:val="43"/>
        </w:numPr>
        <w:tabs>
          <w:tab w:val="left" w:pos="7371"/>
        </w:tabs>
        <w:contextualSpacing/>
        <w:rPr>
          <w:lang w:eastAsia="en-AU"/>
        </w:rPr>
      </w:pPr>
      <w:r>
        <w:rPr>
          <w:lang w:eastAsia="en-AU"/>
        </w:rPr>
        <w:t>Meat</w:t>
      </w:r>
      <w:r w:rsidRPr="00043A2B">
        <w:rPr>
          <w:lang w:eastAsia="en-AU"/>
        </w:rPr>
        <w:t xml:space="preserve"> </w:t>
      </w:r>
      <w:r w:rsidR="009B0C9E">
        <w:rPr>
          <w:lang w:eastAsia="en-AU"/>
        </w:rPr>
        <w:t xml:space="preserve">producers, </w:t>
      </w:r>
      <w:r w:rsidRPr="00043A2B">
        <w:rPr>
          <w:lang w:eastAsia="en-AU"/>
        </w:rPr>
        <w:t>processors</w:t>
      </w:r>
      <w:r w:rsidR="009B0C9E">
        <w:rPr>
          <w:lang w:eastAsia="en-AU"/>
        </w:rPr>
        <w:t>, distributors</w:t>
      </w:r>
      <w:r>
        <w:rPr>
          <w:lang w:eastAsia="en-AU"/>
        </w:rPr>
        <w:t xml:space="preserve"> and retailers</w:t>
      </w:r>
      <w:r w:rsidRPr="00043A2B">
        <w:rPr>
          <w:lang w:eastAsia="en-AU"/>
        </w:rPr>
        <w:t xml:space="preserve"> work with a range of regulation and regulators, including food safety</w:t>
      </w:r>
      <w:r>
        <w:rPr>
          <w:lang w:eastAsia="en-AU"/>
        </w:rPr>
        <w:t xml:space="preserve"> </w:t>
      </w:r>
      <w:r w:rsidR="009B0C9E">
        <w:rPr>
          <w:lang w:eastAsia="en-AU"/>
        </w:rPr>
        <w:t xml:space="preserve">and retail </w:t>
      </w:r>
      <w:r>
        <w:rPr>
          <w:lang w:eastAsia="en-AU"/>
        </w:rPr>
        <w:t>regulation</w:t>
      </w:r>
    </w:p>
    <w:p w14:paraId="367E7826" w14:textId="77777777" w:rsidR="00043A2B" w:rsidRPr="00043A2B" w:rsidRDefault="00043A2B" w:rsidP="00043A2B">
      <w:pPr>
        <w:numPr>
          <w:ilvl w:val="0"/>
          <w:numId w:val="1"/>
        </w:numPr>
        <w:spacing w:before="120" w:after="120"/>
      </w:pPr>
      <w:r w:rsidRPr="00043A2B">
        <w:t>Professional Support Services</w:t>
      </w:r>
    </w:p>
    <w:p w14:paraId="2CD4079F" w14:textId="77777777" w:rsidR="00043A2B" w:rsidRPr="00043A2B" w:rsidRDefault="00043A2B" w:rsidP="00043A2B">
      <w:pPr>
        <w:numPr>
          <w:ilvl w:val="1"/>
          <w:numId w:val="43"/>
        </w:numPr>
        <w:tabs>
          <w:tab w:val="left" w:pos="7371"/>
        </w:tabs>
        <w:contextualSpacing/>
        <w:rPr>
          <w:lang w:eastAsia="en-AU"/>
        </w:rPr>
      </w:pPr>
      <w:r w:rsidRPr="00043A2B">
        <w:rPr>
          <w:lang w:eastAsia="en-AU"/>
        </w:rPr>
        <w:t xml:space="preserve">Supportive occupations such as packaging and waste management, sales and marketing </w:t>
      </w:r>
    </w:p>
    <w:p w14:paraId="5D3532FB" w14:textId="77777777" w:rsidR="00043A2B" w:rsidRPr="00043A2B" w:rsidRDefault="00043A2B" w:rsidP="00043A2B">
      <w:pPr>
        <w:numPr>
          <w:ilvl w:val="0"/>
          <w:numId w:val="1"/>
        </w:numPr>
        <w:spacing w:before="120" w:after="120"/>
      </w:pPr>
      <w:r w:rsidRPr="00043A2B">
        <w:t>Transport &amp; Logistics</w:t>
      </w:r>
    </w:p>
    <w:p w14:paraId="5CF1A751" w14:textId="3C97AD23" w:rsidR="00043A2B" w:rsidRPr="00043A2B" w:rsidRDefault="00043A2B" w:rsidP="00043A2B">
      <w:pPr>
        <w:numPr>
          <w:ilvl w:val="1"/>
          <w:numId w:val="43"/>
        </w:numPr>
        <w:tabs>
          <w:tab w:val="left" w:pos="7371"/>
        </w:tabs>
        <w:contextualSpacing/>
        <w:rPr>
          <w:lang w:eastAsia="en-AU"/>
        </w:rPr>
      </w:pPr>
      <w:r w:rsidRPr="00043A2B">
        <w:rPr>
          <w:lang w:eastAsia="en-AU"/>
        </w:rPr>
        <w:t xml:space="preserve">The disruptions of the COVID-19 pandemic, especially during 2020 and 2021, highlighted the importance of access to </w:t>
      </w:r>
      <w:r w:rsidR="009B0C9E">
        <w:rPr>
          <w:lang w:eastAsia="en-AU"/>
        </w:rPr>
        <w:t>meat products</w:t>
      </w:r>
      <w:r w:rsidRPr="00043A2B">
        <w:rPr>
          <w:lang w:eastAsia="en-AU"/>
        </w:rPr>
        <w:t xml:space="preserve"> and major distribution issues. This is partially covered by the Transport and Logistics (TLI) Training Package</w:t>
      </w:r>
    </w:p>
    <w:p w14:paraId="3DACA9FD" w14:textId="77777777" w:rsidR="00043A2B" w:rsidRPr="00043A2B" w:rsidRDefault="00043A2B" w:rsidP="00043A2B">
      <w:pPr>
        <w:numPr>
          <w:ilvl w:val="0"/>
          <w:numId w:val="1"/>
        </w:numPr>
        <w:spacing w:before="120" w:after="120"/>
      </w:pPr>
      <w:r w:rsidRPr="00043A2B">
        <w:t>Research</w:t>
      </w:r>
    </w:p>
    <w:p w14:paraId="24022767" w14:textId="1B977BC0" w:rsidR="00043A2B" w:rsidRPr="00043A2B" w:rsidRDefault="00043A2B" w:rsidP="00043A2B">
      <w:pPr>
        <w:numPr>
          <w:ilvl w:val="1"/>
          <w:numId w:val="43"/>
        </w:numPr>
        <w:tabs>
          <w:tab w:val="left" w:pos="7371"/>
        </w:tabs>
        <w:contextualSpacing/>
        <w:rPr>
          <w:lang w:eastAsia="en-AU"/>
        </w:rPr>
      </w:pPr>
      <w:r w:rsidRPr="00043A2B">
        <w:rPr>
          <w:lang w:eastAsia="en-AU"/>
        </w:rPr>
        <w:t xml:space="preserve">Significant research efforts are being undertaken that inform industry, including in </w:t>
      </w:r>
      <w:r w:rsidR="009B0C9E">
        <w:rPr>
          <w:lang w:eastAsia="en-AU"/>
        </w:rPr>
        <w:t xml:space="preserve">the introduction of technology, animal welfare, </w:t>
      </w:r>
      <w:r w:rsidRPr="00043A2B">
        <w:rPr>
          <w:lang w:eastAsia="en-AU"/>
        </w:rPr>
        <w:t>waste minimisation, packaging and consumer trends</w:t>
      </w:r>
    </w:p>
    <w:p w14:paraId="01AE61C1" w14:textId="77777777" w:rsidR="00043A2B" w:rsidRPr="00043A2B" w:rsidRDefault="00043A2B" w:rsidP="00043A2B">
      <w:pPr>
        <w:tabs>
          <w:tab w:val="left" w:pos="7371"/>
        </w:tabs>
      </w:pPr>
    </w:p>
    <w:p w14:paraId="0FD01A18" w14:textId="7FBE56ED" w:rsidR="00910CCB" w:rsidRDefault="00910CCB" w:rsidP="00910CCB">
      <w:pPr>
        <w:pStyle w:val="Heading3"/>
      </w:pPr>
      <w:bookmarkStart w:id="25" w:name="_Toc115363695"/>
      <w:bookmarkStart w:id="26" w:name="Biosecurity"/>
      <w:bookmarkEnd w:id="21"/>
      <w:r>
        <w:t>Biosecurity, Invasive Species and Pest Control</w:t>
      </w:r>
      <w:bookmarkEnd w:id="25"/>
    </w:p>
    <w:bookmarkEnd w:id="26"/>
    <w:p w14:paraId="3450EAFF" w14:textId="0325B06D" w:rsidR="00B87ECF" w:rsidRPr="009371D6" w:rsidRDefault="00B87ECF" w:rsidP="004E1AA9">
      <w:pPr>
        <w:rPr>
          <w:szCs w:val="20"/>
        </w:rPr>
      </w:pPr>
      <w:r w:rsidRPr="009371D6">
        <w:rPr>
          <w:szCs w:val="20"/>
        </w:rPr>
        <w:t xml:space="preserve">Australia’s reputation </w:t>
      </w:r>
      <w:r w:rsidR="00C327D1" w:rsidRPr="009371D6">
        <w:rPr>
          <w:szCs w:val="20"/>
        </w:rPr>
        <w:t>for</w:t>
      </w:r>
      <w:r w:rsidRPr="009371D6">
        <w:rPr>
          <w:szCs w:val="20"/>
        </w:rPr>
        <w:t xml:space="preserve"> producing ‘clean and green’ products in relatively uncontaminated environments with fresh and natural </w:t>
      </w:r>
      <w:r w:rsidR="00B42D29" w:rsidRPr="009371D6">
        <w:rPr>
          <w:szCs w:val="20"/>
        </w:rPr>
        <w:t>ingredients</w:t>
      </w:r>
      <w:r w:rsidRPr="009371D6">
        <w:rPr>
          <w:szCs w:val="20"/>
        </w:rPr>
        <w:t xml:space="preserve"> is an important point of difference for organisations </w:t>
      </w:r>
      <w:r w:rsidR="00F50E98" w:rsidRPr="009371D6">
        <w:rPr>
          <w:szCs w:val="20"/>
        </w:rPr>
        <w:t xml:space="preserve">in local and </w:t>
      </w:r>
      <w:r w:rsidRPr="009371D6">
        <w:rPr>
          <w:szCs w:val="20"/>
        </w:rPr>
        <w:t>international market</w:t>
      </w:r>
      <w:r w:rsidR="00F50E98" w:rsidRPr="009371D6">
        <w:rPr>
          <w:szCs w:val="20"/>
        </w:rPr>
        <w:t>s</w:t>
      </w:r>
      <w:r w:rsidRPr="009371D6">
        <w:rPr>
          <w:szCs w:val="20"/>
        </w:rPr>
        <w:t>. A major part of this reputation involves adherence to biosecurity controls</w:t>
      </w:r>
      <w:r w:rsidR="00905244" w:rsidRPr="009371D6">
        <w:rPr>
          <w:szCs w:val="20"/>
        </w:rPr>
        <w:t>.</w:t>
      </w:r>
    </w:p>
    <w:p w14:paraId="66B567D8" w14:textId="73BBAB3E" w:rsidR="00B00861" w:rsidRPr="009371D6" w:rsidRDefault="00B00861" w:rsidP="004E1AA9">
      <w:pPr>
        <w:rPr>
          <w:szCs w:val="20"/>
        </w:rPr>
      </w:pPr>
    </w:p>
    <w:p w14:paraId="127DB098" w14:textId="632A7E98" w:rsidR="0083518D" w:rsidRPr="009371D6" w:rsidRDefault="0032692F" w:rsidP="004E1AA9">
      <w:pPr>
        <w:rPr>
          <w:szCs w:val="20"/>
        </w:rPr>
      </w:pPr>
      <w:r w:rsidRPr="009371D6">
        <w:rPr>
          <w:szCs w:val="20"/>
        </w:rPr>
        <w:t xml:space="preserve">Animal health biosecurity requires </w:t>
      </w:r>
      <w:r w:rsidR="007212D6" w:rsidRPr="009371D6">
        <w:rPr>
          <w:szCs w:val="20"/>
        </w:rPr>
        <w:t>processors to implement everyday monitoring</w:t>
      </w:r>
      <w:r w:rsidR="00C327D1" w:rsidRPr="009371D6">
        <w:rPr>
          <w:szCs w:val="20"/>
        </w:rPr>
        <w:t>, work</w:t>
      </w:r>
      <w:r w:rsidR="007212D6" w:rsidRPr="009371D6">
        <w:rPr>
          <w:szCs w:val="20"/>
        </w:rPr>
        <w:t xml:space="preserve"> practices </w:t>
      </w:r>
      <w:r w:rsidR="00D11E05" w:rsidRPr="009371D6">
        <w:rPr>
          <w:szCs w:val="20"/>
        </w:rPr>
        <w:t>and adhere</w:t>
      </w:r>
      <w:r w:rsidR="00C327D1" w:rsidRPr="009371D6">
        <w:rPr>
          <w:szCs w:val="20"/>
        </w:rPr>
        <w:t>nce</w:t>
      </w:r>
      <w:r w:rsidR="00D11E05" w:rsidRPr="009371D6">
        <w:rPr>
          <w:szCs w:val="20"/>
        </w:rPr>
        <w:t xml:space="preserve"> to </w:t>
      </w:r>
      <w:r w:rsidRPr="009371D6">
        <w:rPr>
          <w:szCs w:val="20"/>
        </w:rPr>
        <w:t>biosecurity management plan</w:t>
      </w:r>
      <w:r w:rsidR="00D11E05" w:rsidRPr="009371D6">
        <w:rPr>
          <w:szCs w:val="20"/>
        </w:rPr>
        <w:t>s.</w:t>
      </w:r>
      <w:r w:rsidR="00080B97" w:rsidRPr="009371D6">
        <w:rPr>
          <w:szCs w:val="20"/>
        </w:rPr>
        <w:t xml:space="preserve"> This in</w:t>
      </w:r>
      <w:r w:rsidR="00C327D1" w:rsidRPr="009371D6">
        <w:rPr>
          <w:szCs w:val="20"/>
        </w:rPr>
        <w:t>clud</w:t>
      </w:r>
      <w:r w:rsidR="00080B97" w:rsidRPr="009371D6">
        <w:rPr>
          <w:szCs w:val="20"/>
        </w:rPr>
        <w:t xml:space="preserve">es keeping records on visitors to processing sites, the treatment and health of animals, </w:t>
      </w:r>
      <w:r w:rsidR="009B0A2C" w:rsidRPr="009371D6">
        <w:rPr>
          <w:szCs w:val="20"/>
        </w:rPr>
        <w:t xml:space="preserve">animal feed, animal waste, </w:t>
      </w:r>
      <w:r w:rsidR="000021B4" w:rsidRPr="009371D6">
        <w:rPr>
          <w:szCs w:val="20"/>
        </w:rPr>
        <w:t>animal deaths, pest and rodent control</w:t>
      </w:r>
      <w:r w:rsidR="00434423" w:rsidRPr="009371D6">
        <w:rPr>
          <w:szCs w:val="20"/>
        </w:rPr>
        <w:t xml:space="preserve"> and animal</w:t>
      </w:r>
      <w:r w:rsidR="00AE5D18" w:rsidRPr="009371D6">
        <w:rPr>
          <w:szCs w:val="20"/>
        </w:rPr>
        <w:t xml:space="preserve"> and product</w:t>
      </w:r>
      <w:r w:rsidR="00434423" w:rsidRPr="009371D6">
        <w:rPr>
          <w:szCs w:val="20"/>
        </w:rPr>
        <w:t xml:space="preserve"> movements to and from work</w:t>
      </w:r>
      <w:r w:rsidR="00D56E26" w:rsidRPr="009371D6">
        <w:rPr>
          <w:szCs w:val="20"/>
        </w:rPr>
        <w:t xml:space="preserve"> sites</w:t>
      </w:r>
      <w:r w:rsidR="0041049E" w:rsidRPr="009371D6">
        <w:rPr>
          <w:rStyle w:val="FootnoteReference"/>
          <w:sz w:val="20"/>
          <w:szCs w:val="20"/>
        </w:rPr>
        <w:footnoteReference w:id="10"/>
      </w:r>
      <w:r w:rsidR="0041049E" w:rsidRPr="009371D6">
        <w:rPr>
          <w:szCs w:val="20"/>
        </w:rPr>
        <w:t>.</w:t>
      </w:r>
      <w:r w:rsidR="00AE5D18" w:rsidRPr="009371D6">
        <w:rPr>
          <w:szCs w:val="20"/>
        </w:rPr>
        <w:t xml:space="preserve"> </w:t>
      </w:r>
    </w:p>
    <w:p w14:paraId="5A9DC225" w14:textId="77777777" w:rsidR="0083518D" w:rsidRPr="009371D6" w:rsidRDefault="0083518D" w:rsidP="004E1AA9">
      <w:pPr>
        <w:rPr>
          <w:szCs w:val="20"/>
        </w:rPr>
      </w:pPr>
    </w:p>
    <w:p w14:paraId="6FE82936" w14:textId="02028DC7" w:rsidR="004757C3" w:rsidRPr="009371D6" w:rsidRDefault="00DC5AC9" w:rsidP="001E03F6">
      <w:pPr>
        <w:rPr>
          <w:szCs w:val="20"/>
        </w:rPr>
      </w:pPr>
      <w:r w:rsidRPr="009371D6">
        <w:rPr>
          <w:szCs w:val="20"/>
        </w:rPr>
        <w:t>C</w:t>
      </w:r>
      <w:r w:rsidR="00AE5D18" w:rsidRPr="009371D6">
        <w:rPr>
          <w:szCs w:val="20"/>
        </w:rPr>
        <w:t xml:space="preserve">ontingency plans </w:t>
      </w:r>
      <w:r w:rsidRPr="009371D6">
        <w:rPr>
          <w:szCs w:val="20"/>
        </w:rPr>
        <w:t xml:space="preserve">are also required </w:t>
      </w:r>
      <w:r w:rsidR="00AE5D18" w:rsidRPr="009371D6">
        <w:rPr>
          <w:szCs w:val="20"/>
        </w:rPr>
        <w:t xml:space="preserve">for when a </w:t>
      </w:r>
      <w:r w:rsidR="00FA7F90" w:rsidRPr="009371D6">
        <w:rPr>
          <w:szCs w:val="20"/>
        </w:rPr>
        <w:t>biosecurity outbreak might occur.</w:t>
      </w:r>
      <w:r w:rsidR="0083518D" w:rsidRPr="009371D6">
        <w:rPr>
          <w:szCs w:val="20"/>
        </w:rPr>
        <w:t xml:space="preserve"> </w:t>
      </w:r>
      <w:r w:rsidR="00986F00" w:rsidRPr="009371D6">
        <w:rPr>
          <w:szCs w:val="20"/>
        </w:rPr>
        <w:t xml:space="preserve">All operators in the meat processing value chain must be vigilant to </w:t>
      </w:r>
      <w:r w:rsidR="007048D4" w:rsidRPr="009371D6">
        <w:rPr>
          <w:szCs w:val="20"/>
        </w:rPr>
        <w:t xml:space="preserve">signs of animal biosecurity concerns, including the emergence of </w:t>
      </w:r>
      <w:r w:rsidR="001E03F6" w:rsidRPr="001E03F6">
        <w:rPr>
          <w:szCs w:val="20"/>
        </w:rPr>
        <w:t>exotic</w:t>
      </w:r>
      <w:r w:rsidR="001E03F6">
        <w:rPr>
          <w:szCs w:val="20"/>
        </w:rPr>
        <w:t xml:space="preserve"> </w:t>
      </w:r>
      <w:r w:rsidR="001E03F6" w:rsidRPr="001E03F6">
        <w:rPr>
          <w:szCs w:val="20"/>
        </w:rPr>
        <w:t xml:space="preserve">and notifiable diseases </w:t>
      </w:r>
      <w:r w:rsidR="00E145F4" w:rsidRPr="009371D6">
        <w:rPr>
          <w:szCs w:val="20"/>
        </w:rPr>
        <w:t xml:space="preserve">such </w:t>
      </w:r>
      <w:r w:rsidR="004E1AA9" w:rsidRPr="009371D6">
        <w:rPr>
          <w:szCs w:val="20"/>
        </w:rPr>
        <w:t>Lumpy Skin Disease and Foot and Mouth Disease</w:t>
      </w:r>
      <w:r w:rsidR="006B72A3" w:rsidRPr="009371D6">
        <w:rPr>
          <w:szCs w:val="20"/>
        </w:rPr>
        <w:t>, which</w:t>
      </w:r>
      <w:r w:rsidR="004E1AA9" w:rsidRPr="009371D6">
        <w:rPr>
          <w:szCs w:val="20"/>
        </w:rPr>
        <w:t xml:space="preserve"> are present in countries </w:t>
      </w:r>
      <w:r w:rsidR="000E0044" w:rsidRPr="009371D6">
        <w:rPr>
          <w:szCs w:val="20"/>
        </w:rPr>
        <w:t xml:space="preserve">to the </w:t>
      </w:r>
      <w:r w:rsidR="00136B60" w:rsidRPr="009371D6">
        <w:rPr>
          <w:szCs w:val="20"/>
        </w:rPr>
        <w:t xml:space="preserve">north of </w:t>
      </w:r>
      <w:r w:rsidR="004E1AA9" w:rsidRPr="009371D6">
        <w:rPr>
          <w:szCs w:val="20"/>
        </w:rPr>
        <w:t xml:space="preserve">Australia. Both diseases would be extremely disruptive to Australia's livestock </w:t>
      </w:r>
      <w:r w:rsidR="00136B60" w:rsidRPr="009371D6">
        <w:rPr>
          <w:szCs w:val="20"/>
        </w:rPr>
        <w:t xml:space="preserve">and meat </w:t>
      </w:r>
      <w:r w:rsidR="004E1AA9" w:rsidRPr="009371D6">
        <w:rPr>
          <w:szCs w:val="20"/>
        </w:rPr>
        <w:t>industr</w:t>
      </w:r>
      <w:r w:rsidR="00136B60" w:rsidRPr="009371D6">
        <w:rPr>
          <w:szCs w:val="20"/>
        </w:rPr>
        <w:t>ies</w:t>
      </w:r>
      <w:r w:rsidR="007071A2" w:rsidRPr="009371D6">
        <w:rPr>
          <w:szCs w:val="20"/>
        </w:rPr>
        <w:t xml:space="preserve"> because they cause </w:t>
      </w:r>
      <w:r w:rsidR="004E1AA9" w:rsidRPr="009371D6">
        <w:rPr>
          <w:szCs w:val="20"/>
        </w:rPr>
        <w:t>reduced animal productivity</w:t>
      </w:r>
      <w:r w:rsidR="00AF2646" w:rsidRPr="009371D6">
        <w:rPr>
          <w:szCs w:val="20"/>
        </w:rPr>
        <w:t xml:space="preserve"> and</w:t>
      </w:r>
      <w:r w:rsidR="004E1AA9" w:rsidRPr="009371D6">
        <w:rPr>
          <w:szCs w:val="20"/>
        </w:rPr>
        <w:t xml:space="preserve"> increased mortality</w:t>
      </w:r>
      <w:r w:rsidR="00AF2646" w:rsidRPr="009371D6">
        <w:rPr>
          <w:szCs w:val="20"/>
        </w:rPr>
        <w:t>,</w:t>
      </w:r>
      <w:r w:rsidR="004E1AA9" w:rsidRPr="009371D6">
        <w:rPr>
          <w:szCs w:val="20"/>
        </w:rPr>
        <w:t xml:space="preserve"> and any disease incursion </w:t>
      </w:r>
      <w:r w:rsidR="0083518D" w:rsidRPr="009371D6">
        <w:rPr>
          <w:szCs w:val="20"/>
        </w:rPr>
        <w:t>w</w:t>
      </w:r>
      <w:r w:rsidR="004E1AA9" w:rsidRPr="009371D6">
        <w:rPr>
          <w:szCs w:val="20"/>
        </w:rPr>
        <w:t xml:space="preserve">ould </w:t>
      </w:r>
      <w:r w:rsidR="0083518D" w:rsidRPr="009371D6">
        <w:rPr>
          <w:szCs w:val="20"/>
        </w:rPr>
        <w:t xml:space="preserve">likely </w:t>
      </w:r>
      <w:r w:rsidR="00AF2646" w:rsidRPr="009371D6">
        <w:rPr>
          <w:szCs w:val="20"/>
        </w:rPr>
        <w:t>affect</w:t>
      </w:r>
      <w:r w:rsidR="004E1AA9" w:rsidRPr="009371D6">
        <w:rPr>
          <w:szCs w:val="20"/>
        </w:rPr>
        <w:t xml:space="preserve"> Australia's access to export </w:t>
      </w:r>
      <w:r w:rsidR="0083518D" w:rsidRPr="009371D6">
        <w:rPr>
          <w:szCs w:val="20"/>
        </w:rPr>
        <w:t>markets</w:t>
      </w:r>
      <w:r w:rsidR="00E145F4" w:rsidRPr="009371D6">
        <w:rPr>
          <w:rStyle w:val="FootnoteReference"/>
          <w:sz w:val="20"/>
          <w:szCs w:val="20"/>
        </w:rPr>
        <w:footnoteReference w:id="11"/>
      </w:r>
      <w:r w:rsidR="0083518D" w:rsidRPr="009371D6">
        <w:rPr>
          <w:szCs w:val="20"/>
        </w:rPr>
        <w:t>.</w:t>
      </w:r>
      <w:r w:rsidR="006C0BE3" w:rsidRPr="009371D6">
        <w:rPr>
          <w:szCs w:val="20"/>
        </w:rPr>
        <w:t xml:space="preserve"> </w:t>
      </w:r>
      <w:r w:rsidR="001F6406">
        <w:rPr>
          <w:szCs w:val="20"/>
        </w:rPr>
        <w:t>Dr Peter Dagg from Animal Health Australia</w:t>
      </w:r>
      <w:r w:rsidR="006C0BE3" w:rsidRPr="009371D6">
        <w:rPr>
          <w:szCs w:val="20"/>
        </w:rPr>
        <w:t xml:space="preserve"> warn</w:t>
      </w:r>
      <w:r w:rsidR="001F6406">
        <w:rPr>
          <w:szCs w:val="20"/>
        </w:rPr>
        <w:t>s</w:t>
      </w:r>
      <w:r w:rsidR="006C0BE3" w:rsidRPr="009371D6">
        <w:rPr>
          <w:szCs w:val="20"/>
        </w:rPr>
        <w:t xml:space="preserve"> that, should </w:t>
      </w:r>
      <w:r w:rsidR="00FB3A7A" w:rsidRPr="009371D6">
        <w:rPr>
          <w:szCs w:val="20"/>
        </w:rPr>
        <w:t xml:space="preserve">Foot and Mouth Disease reach </w:t>
      </w:r>
      <w:r w:rsidR="006C0BE3" w:rsidRPr="009371D6">
        <w:rPr>
          <w:szCs w:val="20"/>
        </w:rPr>
        <w:t>Australia</w:t>
      </w:r>
      <w:r w:rsidR="00FB3A7A" w:rsidRPr="009371D6">
        <w:rPr>
          <w:szCs w:val="20"/>
        </w:rPr>
        <w:t xml:space="preserve"> from nearby Indonesia</w:t>
      </w:r>
      <w:r w:rsidR="006C0BE3" w:rsidRPr="009371D6">
        <w:rPr>
          <w:szCs w:val="20"/>
        </w:rPr>
        <w:t xml:space="preserve">, current rules </w:t>
      </w:r>
      <w:r w:rsidR="00FB3A7A" w:rsidRPr="009371D6">
        <w:rPr>
          <w:szCs w:val="20"/>
        </w:rPr>
        <w:t xml:space="preserve">dictate </w:t>
      </w:r>
      <w:r w:rsidR="001B36D7" w:rsidRPr="009371D6">
        <w:rPr>
          <w:szCs w:val="20"/>
        </w:rPr>
        <w:t xml:space="preserve">that there would likely </w:t>
      </w:r>
      <w:r w:rsidR="006C0BE3" w:rsidRPr="009371D6">
        <w:rPr>
          <w:szCs w:val="20"/>
        </w:rPr>
        <w:t xml:space="preserve">be </w:t>
      </w:r>
      <w:r w:rsidR="001B36D7" w:rsidRPr="009371D6">
        <w:rPr>
          <w:szCs w:val="20"/>
        </w:rPr>
        <w:t xml:space="preserve">an </w:t>
      </w:r>
      <w:r w:rsidR="006C0BE3" w:rsidRPr="009371D6">
        <w:rPr>
          <w:szCs w:val="20"/>
        </w:rPr>
        <w:t>immediate imposition of a national livestock standstill</w:t>
      </w:r>
      <w:r w:rsidR="00CB344D" w:rsidRPr="009371D6">
        <w:rPr>
          <w:szCs w:val="20"/>
        </w:rPr>
        <w:t xml:space="preserve"> to limit the movement </w:t>
      </w:r>
      <w:r w:rsidR="00482B88" w:rsidRPr="009371D6">
        <w:rPr>
          <w:szCs w:val="20"/>
        </w:rPr>
        <w:t>of animals and, correspondingly, the spread of disease</w:t>
      </w:r>
      <w:r w:rsidR="001B36D7" w:rsidRPr="009371D6">
        <w:rPr>
          <w:rStyle w:val="FootnoteReference"/>
          <w:sz w:val="20"/>
          <w:szCs w:val="20"/>
        </w:rPr>
        <w:footnoteReference w:id="12"/>
      </w:r>
      <w:r w:rsidR="006C0BE3" w:rsidRPr="009371D6">
        <w:rPr>
          <w:szCs w:val="20"/>
        </w:rPr>
        <w:t>.</w:t>
      </w:r>
      <w:r w:rsidR="006F0D51" w:rsidRPr="009371D6">
        <w:rPr>
          <w:szCs w:val="20"/>
        </w:rPr>
        <w:t xml:space="preserve"> This </w:t>
      </w:r>
      <w:r w:rsidR="00586314" w:rsidRPr="009371D6">
        <w:rPr>
          <w:szCs w:val="20"/>
        </w:rPr>
        <w:t>fall</w:t>
      </w:r>
      <w:r w:rsidR="00D23006" w:rsidRPr="009371D6">
        <w:rPr>
          <w:szCs w:val="20"/>
        </w:rPr>
        <w:t>s</w:t>
      </w:r>
      <w:r w:rsidR="00586314" w:rsidRPr="009371D6">
        <w:rPr>
          <w:szCs w:val="20"/>
        </w:rPr>
        <w:t xml:space="preserve"> under the </w:t>
      </w:r>
      <w:r w:rsidR="00586314" w:rsidRPr="009371D6">
        <w:rPr>
          <w:i/>
          <w:szCs w:val="20"/>
        </w:rPr>
        <w:t>AUSVETPLAN</w:t>
      </w:r>
      <w:r w:rsidR="00586314" w:rsidRPr="009371D6">
        <w:rPr>
          <w:szCs w:val="20"/>
        </w:rPr>
        <w:t>, which provides a nationally-agreed approach</w:t>
      </w:r>
      <w:r w:rsidR="00B05415" w:rsidRPr="009371D6">
        <w:rPr>
          <w:szCs w:val="20"/>
        </w:rPr>
        <w:t xml:space="preserve">, </w:t>
      </w:r>
      <w:r w:rsidR="00D23006" w:rsidRPr="009371D6">
        <w:rPr>
          <w:szCs w:val="20"/>
        </w:rPr>
        <w:t>and</w:t>
      </w:r>
      <w:r w:rsidR="00B05415" w:rsidRPr="009371D6">
        <w:rPr>
          <w:szCs w:val="20"/>
        </w:rPr>
        <w:t xml:space="preserve"> identifies that workers must have the capabilities for </w:t>
      </w:r>
      <w:r w:rsidR="00586314" w:rsidRPr="009371D6">
        <w:rPr>
          <w:szCs w:val="20"/>
        </w:rPr>
        <w:t>early detection, vaccination, establishment of quarantine zones, and restricti</w:t>
      </w:r>
      <w:r w:rsidR="00D23006" w:rsidRPr="009371D6">
        <w:rPr>
          <w:szCs w:val="20"/>
        </w:rPr>
        <w:t>ng</w:t>
      </w:r>
      <w:r w:rsidR="00586314" w:rsidRPr="009371D6">
        <w:rPr>
          <w:szCs w:val="20"/>
        </w:rPr>
        <w:t xml:space="preserve"> the movement of </w:t>
      </w:r>
      <w:r w:rsidR="003278AA" w:rsidRPr="009371D6">
        <w:rPr>
          <w:szCs w:val="20"/>
        </w:rPr>
        <w:t xml:space="preserve">implicated </w:t>
      </w:r>
      <w:r w:rsidR="00586314" w:rsidRPr="009371D6">
        <w:rPr>
          <w:szCs w:val="20"/>
        </w:rPr>
        <w:t xml:space="preserve">animals, animal products </w:t>
      </w:r>
      <w:r w:rsidR="00B05415" w:rsidRPr="009371D6">
        <w:rPr>
          <w:szCs w:val="20"/>
        </w:rPr>
        <w:t xml:space="preserve">and </w:t>
      </w:r>
      <w:r w:rsidR="00375CB2" w:rsidRPr="009371D6">
        <w:rPr>
          <w:szCs w:val="20"/>
        </w:rPr>
        <w:t xml:space="preserve">related </w:t>
      </w:r>
      <w:r w:rsidR="00586314" w:rsidRPr="009371D6">
        <w:rPr>
          <w:szCs w:val="20"/>
        </w:rPr>
        <w:t>equipment</w:t>
      </w:r>
      <w:r w:rsidR="003278AA" w:rsidRPr="009371D6">
        <w:rPr>
          <w:rStyle w:val="FootnoteReference"/>
          <w:sz w:val="20"/>
          <w:szCs w:val="20"/>
        </w:rPr>
        <w:footnoteReference w:id="13"/>
      </w:r>
      <w:r w:rsidR="003278AA" w:rsidRPr="009371D6">
        <w:rPr>
          <w:szCs w:val="20"/>
        </w:rPr>
        <w:t>.</w:t>
      </w:r>
      <w:r w:rsidR="00375CB2" w:rsidRPr="009371D6">
        <w:rPr>
          <w:szCs w:val="20"/>
        </w:rPr>
        <w:t xml:space="preserve"> </w:t>
      </w:r>
    </w:p>
    <w:p w14:paraId="40336848" w14:textId="7C32EB62" w:rsidR="004921C0" w:rsidRPr="009371D6" w:rsidRDefault="004921C0" w:rsidP="004E1AA9">
      <w:pPr>
        <w:rPr>
          <w:szCs w:val="20"/>
        </w:rPr>
      </w:pPr>
    </w:p>
    <w:p w14:paraId="487CFB53" w14:textId="4F384DD7" w:rsidR="004921C0" w:rsidRDefault="001F3D31" w:rsidP="004E1AA9">
      <w:pPr>
        <w:rPr>
          <w:szCs w:val="20"/>
        </w:rPr>
      </w:pPr>
      <w:r w:rsidRPr="009371D6">
        <w:rPr>
          <w:szCs w:val="20"/>
        </w:rPr>
        <w:t xml:space="preserve">Biosecurity controls also impact on the </w:t>
      </w:r>
      <w:r w:rsidR="00F23D13" w:rsidRPr="009371D6">
        <w:rPr>
          <w:szCs w:val="20"/>
        </w:rPr>
        <w:t xml:space="preserve">structure and scheduling of the workforce. The </w:t>
      </w:r>
      <w:r w:rsidR="00581851" w:rsidRPr="009371D6">
        <w:rPr>
          <w:szCs w:val="20"/>
        </w:rPr>
        <w:t xml:space="preserve">meat processing industry was exposed to the impacts of </w:t>
      </w:r>
      <w:r w:rsidR="00F23D13" w:rsidRPr="009371D6">
        <w:rPr>
          <w:szCs w:val="20"/>
        </w:rPr>
        <w:t xml:space="preserve">COVID-19, a zoonotic disease, </w:t>
      </w:r>
      <w:r w:rsidR="00C13294" w:rsidRPr="009371D6">
        <w:rPr>
          <w:szCs w:val="20"/>
        </w:rPr>
        <w:t xml:space="preserve">due to its very high labour intensity, </w:t>
      </w:r>
      <w:r w:rsidR="00C13294" w:rsidRPr="009371D6">
        <w:rPr>
          <w:szCs w:val="20"/>
        </w:rPr>
        <w:lastRenderedPageBreak/>
        <w:t xml:space="preserve">operational difficulties associated with social distancing, highly exposed supply chain and few options for employees to work from home. </w:t>
      </w:r>
      <w:r w:rsidR="002A2E22" w:rsidRPr="009371D6">
        <w:rPr>
          <w:szCs w:val="20"/>
        </w:rPr>
        <w:t xml:space="preserve">This was also a reflection of </w:t>
      </w:r>
      <w:r w:rsidR="00055BE4" w:rsidRPr="009371D6">
        <w:rPr>
          <w:szCs w:val="20"/>
        </w:rPr>
        <w:t xml:space="preserve">the circumstances of the people making up the workforce, many of whom co-habited and </w:t>
      </w:r>
      <w:r w:rsidR="00740713" w:rsidRPr="009371D6">
        <w:rPr>
          <w:szCs w:val="20"/>
        </w:rPr>
        <w:t>shared transportation to and from the workplace</w:t>
      </w:r>
      <w:r w:rsidR="00EB1571" w:rsidRPr="009371D6">
        <w:rPr>
          <w:szCs w:val="20"/>
        </w:rPr>
        <w:t>.</w:t>
      </w:r>
      <w:r w:rsidR="00097301" w:rsidRPr="009371D6">
        <w:rPr>
          <w:szCs w:val="20"/>
        </w:rPr>
        <w:t xml:space="preserve"> </w:t>
      </w:r>
      <w:r w:rsidR="00A41911" w:rsidRPr="009371D6">
        <w:rPr>
          <w:szCs w:val="20"/>
        </w:rPr>
        <w:t xml:space="preserve">Such challenges saw industry leaders renewing </w:t>
      </w:r>
      <w:r w:rsidR="00F907F4" w:rsidRPr="009371D6">
        <w:rPr>
          <w:szCs w:val="20"/>
        </w:rPr>
        <w:t xml:space="preserve">protocols and planning for biosecurity risks, </w:t>
      </w:r>
      <w:r w:rsidR="00E16DB5" w:rsidRPr="009371D6">
        <w:rPr>
          <w:szCs w:val="20"/>
        </w:rPr>
        <w:t xml:space="preserve">including staggering shift patterns, enacting physical distancing where possible, </w:t>
      </w:r>
      <w:r w:rsidR="00551C80" w:rsidRPr="009371D6">
        <w:rPr>
          <w:szCs w:val="20"/>
        </w:rPr>
        <w:t>increasing hygiene requirements and mandating rapid antigen testing.</w:t>
      </w:r>
      <w:r w:rsidR="00B81B61" w:rsidRPr="009371D6">
        <w:rPr>
          <w:szCs w:val="20"/>
        </w:rPr>
        <w:t xml:space="preserve"> As a result of these </w:t>
      </w:r>
      <w:r w:rsidR="00A15664" w:rsidRPr="009371D6">
        <w:rPr>
          <w:szCs w:val="20"/>
        </w:rPr>
        <w:t xml:space="preserve">actions, </w:t>
      </w:r>
      <w:r w:rsidR="00C13294" w:rsidRPr="009371D6">
        <w:rPr>
          <w:szCs w:val="20"/>
        </w:rPr>
        <w:t xml:space="preserve">meat works </w:t>
      </w:r>
      <w:r w:rsidR="00A15664" w:rsidRPr="009371D6">
        <w:rPr>
          <w:szCs w:val="20"/>
        </w:rPr>
        <w:t xml:space="preserve">across </w:t>
      </w:r>
      <w:r w:rsidR="00C13294" w:rsidRPr="009371D6">
        <w:rPr>
          <w:szCs w:val="20"/>
        </w:rPr>
        <w:t xml:space="preserve">most of Australia </w:t>
      </w:r>
      <w:r w:rsidR="00A15664" w:rsidRPr="009371D6">
        <w:rPr>
          <w:szCs w:val="20"/>
        </w:rPr>
        <w:t>were able to continue operating</w:t>
      </w:r>
      <w:r w:rsidR="00ED7849" w:rsidRPr="009371D6">
        <w:rPr>
          <w:szCs w:val="20"/>
        </w:rPr>
        <w:t xml:space="preserve">, </w:t>
      </w:r>
      <w:r w:rsidR="006D7415">
        <w:rPr>
          <w:szCs w:val="20"/>
        </w:rPr>
        <w:t>underpinned by</w:t>
      </w:r>
      <w:r w:rsidR="002E4433" w:rsidRPr="009371D6">
        <w:rPr>
          <w:szCs w:val="20"/>
        </w:rPr>
        <w:t xml:space="preserve"> the </w:t>
      </w:r>
      <w:r w:rsidR="00C13294" w:rsidRPr="009371D6">
        <w:rPr>
          <w:szCs w:val="20"/>
        </w:rPr>
        <w:t>appl</w:t>
      </w:r>
      <w:r w:rsidR="002E4433" w:rsidRPr="009371D6">
        <w:rPr>
          <w:szCs w:val="20"/>
        </w:rPr>
        <w:t>ication of</w:t>
      </w:r>
      <w:r w:rsidR="00C13294" w:rsidRPr="009371D6">
        <w:rPr>
          <w:szCs w:val="20"/>
        </w:rPr>
        <w:t xml:space="preserve"> high </w:t>
      </w:r>
      <w:r w:rsidR="002E4433" w:rsidRPr="009371D6">
        <w:rPr>
          <w:szCs w:val="20"/>
        </w:rPr>
        <w:t xml:space="preserve">safety </w:t>
      </w:r>
      <w:r w:rsidR="00C13294" w:rsidRPr="009371D6">
        <w:rPr>
          <w:szCs w:val="20"/>
        </w:rPr>
        <w:t>standards in every aspect of operations.</w:t>
      </w:r>
    </w:p>
    <w:p w14:paraId="3E0F070C" w14:textId="77777777" w:rsidR="00C6344A" w:rsidRPr="009371D6" w:rsidRDefault="00C6344A" w:rsidP="004E1AA9">
      <w:pPr>
        <w:rPr>
          <w:szCs w:val="20"/>
        </w:rPr>
      </w:pPr>
    </w:p>
    <w:p w14:paraId="3B11C077" w14:textId="61969CA8" w:rsidR="003A29CB" w:rsidRDefault="003A29CB" w:rsidP="003A29CB">
      <w:pPr>
        <w:pStyle w:val="Heading3"/>
      </w:pPr>
      <w:bookmarkStart w:id="27" w:name="_Toc115363696"/>
      <w:r w:rsidRPr="00BB5B8A">
        <w:t xml:space="preserve">Sustaining </w:t>
      </w:r>
      <w:r w:rsidR="00520779">
        <w:t>P</w:t>
      </w:r>
      <w:r w:rsidRPr="00BB5B8A">
        <w:t xml:space="preserve">lants and </w:t>
      </w:r>
      <w:r w:rsidR="00520779">
        <w:t>A</w:t>
      </w:r>
      <w:r w:rsidRPr="00BB5B8A">
        <w:t>nimals</w:t>
      </w:r>
      <w:bookmarkEnd w:id="27"/>
    </w:p>
    <w:p w14:paraId="399E1704" w14:textId="42C7C009" w:rsidR="00D368E6" w:rsidRPr="009371D6" w:rsidRDefault="00EB210C" w:rsidP="00D368E6">
      <w:pPr>
        <w:rPr>
          <w:szCs w:val="20"/>
        </w:rPr>
      </w:pPr>
      <w:bookmarkStart w:id="28" w:name="Complexcare"/>
      <w:r w:rsidRPr="009371D6">
        <w:rPr>
          <w:szCs w:val="20"/>
        </w:rPr>
        <w:t xml:space="preserve">The meat processing industry’s social licence is dependent on the </w:t>
      </w:r>
      <w:r w:rsidR="008B23A1" w:rsidRPr="009371D6">
        <w:rPr>
          <w:szCs w:val="20"/>
        </w:rPr>
        <w:t>humane, effective and hygienic treatment of animals.</w:t>
      </w:r>
      <w:r w:rsidR="00584F4F" w:rsidRPr="009371D6">
        <w:rPr>
          <w:szCs w:val="20"/>
        </w:rPr>
        <w:t xml:space="preserve"> This involves </w:t>
      </w:r>
      <w:r w:rsidR="00BA6CA8" w:rsidRPr="009371D6">
        <w:rPr>
          <w:szCs w:val="20"/>
        </w:rPr>
        <w:t xml:space="preserve">feeding and </w:t>
      </w:r>
      <w:r w:rsidR="00584F4F" w:rsidRPr="009371D6">
        <w:rPr>
          <w:szCs w:val="20"/>
        </w:rPr>
        <w:t>handling livestock,</w:t>
      </w:r>
      <w:r w:rsidR="00BA6CA8" w:rsidRPr="009371D6">
        <w:rPr>
          <w:szCs w:val="20"/>
        </w:rPr>
        <w:t xml:space="preserve"> </w:t>
      </w:r>
      <w:r w:rsidR="00584F4F" w:rsidRPr="009371D6">
        <w:rPr>
          <w:szCs w:val="20"/>
        </w:rPr>
        <w:t>preparing them for slaughter</w:t>
      </w:r>
      <w:r w:rsidR="00AE2728" w:rsidRPr="009371D6">
        <w:rPr>
          <w:szCs w:val="20"/>
        </w:rPr>
        <w:t>, restraining them</w:t>
      </w:r>
      <w:r w:rsidR="00463A08" w:rsidRPr="009371D6">
        <w:rPr>
          <w:szCs w:val="20"/>
        </w:rPr>
        <w:t xml:space="preserve"> appropriately</w:t>
      </w:r>
      <w:r w:rsidR="00405602" w:rsidRPr="009371D6">
        <w:rPr>
          <w:szCs w:val="20"/>
        </w:rPr>
        <w:t xml:space="preserve"> and applying effective </w:t>
      </w:r>
      <w:r w:rsidR="00C05CD6" w:rsidRPr="009371D6">
        <w:rPr>
          <w:szCs w:val="20"/>
        </w:rPr>
        <w:t xml:space="preserve">stunning </w:t>
      </w:r>
      <w:r w:rsidR="005F57C2">
        <w:rPr>
          <w:szCs w:val="20"/>
        </w:rPr>
        <w:t xml:space="preserve">and slaughter </w:t>
      </w:r>
      <w:r w:rsidR="00C05CD6" w:rsidRPr="009371D6">
        <w:rPr>
          <w:szCs w:val="20"/>
        </w:rPr>
        <w:t>methods</w:t>
      </w:r>
      <w:r w:rsidR="00141CB0" w:rsidRPr="009371D6">
        <w:rPr>
          <w:szCs w:val="20"/>
        </w:rPr>
        <w:t xml:space="preserve"> in accordance with animal welfare regulation</w:t>
      </w:r>
      <w:r w:rsidR="000B302F" w:rsidRPr="009371D6">
        <w:rPr>
          <w:szCs w:val="20"/>
        </w:rPr>
        <w:t>s</w:t>
      </w:r>
      <w:r w:rsidR="00141CB0" w:rsidRPr="009371D6">
        <w:rPr>
          <w:szCs w:val="20"/>
        </w:rPr>
        <w:t xml:space="preserve"> and workplace requirements</w:t>
      </w:r>
      <w:r w:rsidR="00BA6CA8" w:rsidRPr="009371D6">
        <w:rPr>
          <w:szCs w:val="20"/>
        </w:rPr>
        <w:t>.</w:t>
      </w:r>
      <w:r w:rsidR="00C05CD6" w:rsidRPr="009371D6">
        <w:rPr>
          <w:szCs w:val="20"/>
        </w:rPr>
        <w:t xml:space="preserve"> </w:t>
      </w:r>
    </w:p>
    <w:bookmarkEnd w:id="28"/>
    <w:p w14:paraId="525532B8" w14:textId="77777777" w:rsidR="00FC3794" w:rsidRPr="009371D6" w:rsidRDefault="00FC3794" w:rsidP="00FC3794">
      <w:pPr>
        <w:rPr>
          <w:szCs w:val="20"/>
        </w:rPr>
      </w:pPr>
    </w:p>
    <w:p w14:paraId="298B3741" w14:textId="301AF8AC" w:rsidR="00B65589" w:rsidRPr="009371D6" w:rsidRDefault="00E224C4" w:rsidP="00E224C4">
      <w:pPr>
        <w:rPr>
          <w:szCs w:val="20"/>
        </w:rPr>
      </w:pPr>
      <w:r w:rsidRPr="009371D6">
        <w:rPr>
          <w:szCs w:val="20"/>
        </w:rPr>
        <w:t xml:space="preserve">In 2021, 97.5% of cattle </w:t>
      </w:r>
      <w:r w:rsidR="00136A58">
        <w:rPr>
          <w:szCs w:val="20"/>
        </w:rPr>
        <w:t xml:space="preserve">and 80% of </w:t>
      </w:r>
      <w:r w:rsidR="00065718">
        <w:rPr>
          <w:szCs w:val="20"/>
        </w:rPr>
        <w:t xml:space="preserve">ovine </w:t>
      </w:r>
      <w:r w:rsidRPr="009371D6">
        <w:rPr>
          <w:szCs w:val="20"/>
        </w:rPr>
        <w:t>were processed through an establishment accredited under the Australian Livestock Processing Industry Animal Welfare Certification System</w:t>
      </w:r>
      <w:r w:rsidR="00424C91" w:rsidRPr="009371D6">
        <w:rPr>
          <w:szCs w:val="20"/>
        </w:rPr>
        <w:t xml:space="preserve"> (AAWCS)</w:t>
      </w:r>
      <w:r w:rsidRPr="009371D6">
        <w:rPr>
          <w:szCs w:val="20"/>
        </w:rPr>
        <w:t xml:space="preserve">. This is an independently audited program to demonstrate compliance with animal welfare standards from receival of livestock to the point of humane processing. </w:t>
      </w:r>
      <w:r w:rsidR="0059593F" w:rsidRPr="009371D6">
        <w:rPr>
          <w:szCs w:val="20"/>
        </w:rPr>
        <w:t xml:space="preserve">The AAWCS was recently reviewed by the </w:t>
      </w:r>
      <w:r w:rsidR="005F57C2" w:rsidRPr="005F57C2">
        <w:rPr>
          <w:szCs w:val="20"/>
        </w:rPr>
        <w:t>AMIC Standards Committee</w:t>
      </w:r>
      <w:r w:rsidR="0059593F" w:rsidRPr="009371D6">
        <w:rPr>
          <w:szCs w:val="20"/>
        </w:rPr>
        <w:t xml:space="preserve">, which </w:t>
      </w:r>
      <w:r w:rsidR="002500F7" w:rsidRPr="009371D6">
        <w:rPr>
          <w:szCs w:val="20"/>
        </w:rPr>
        <w:t xml:space="preserve">was </w:t>
      </w:r>
      <w:r w:rsidR="0059593F" w:rsidRPr="009371D6">
        <w:rPr>
          <w:szCs w:val="20"/>
        </w:rPr>
        <w:t xml:space="preserve">comprised </w:t>
      </w:r>
      <w:r w:rsidR="002500F7" w:rsidRPr="009371D6">
        <w:rPr>
          <w:szCs w:val="20"/>
        </w:rPr>
        <w:t xml:space="preserve">of </w:t>
      </w:r>
      <w:r w:rsidR="0059593F" w:rsidRPr="009371D6">
        <w:rPr>
          <w:szCs w:val="20"/>
        </w:rPr>
        <w:t>state and federal government</w:t>
      </w:r>
      <w:r w:rsidR="00CC6552" w:rsidRPr="009371D6">
        <w:rPr>
          <w:szCs w:val="20"/>
        </w:rPr>
        <w:t xml:space="preserve"> representatives</w:t>
      </w:r>
      <w:r w:rsidR="0059593F" w:rsidRPr="009371D6">
        <w:rPr>
          <w:szCs w:val="20"/>
        </w:rPr>
        <w:t xml:space="preserve">, </w:t>
      </w:r>
      <w:r w:rsidR="002500F7" w:rsidRPr="009371D6">
        <w:rPr>
          <w:szCs w:val="20"/>
        </w:rPr>
        <w:t>industry</w:t>
      </w:r>
      <w:r w:rsidR="00CC6552" w:rsidRPr="009371D6">
        <w:rPr>
          <w:szCs w:val="20"/>
        </w:rPr>
        <w:t xml:space="preserve"> stakeholders</w:t>
      </w:r>
      <w:r w:rsidR="002500F7" w:rsidRPr="009371D6">
        <w:rPr>
          <w:szCs w:val="20"/>
        </w:rPr>
        <w:t xml:space="preserve">, </w:t>
      </w:r>
      <w:r w:rsidR="0059593F" w:rsidRPr="009371D6">
        <w:rPr>
          <w:szCs w:val="20"/>
        </w:rPr>
        <w:t xml:space="preserve">scientific </w:t>
      </w:r>
      <w:r w:rsidR="002500F7" w:rsidRPr="009371D6">
        <w:rPr>
          <w:szCs w:val="20"/>
        </w:rPr>
        <w:t>and technical experts</w:t>
      </w:r>
      <w:r w:rsidR="0059593F" w:rsidRPr="009371D6">
        <w:rPr>
          <w:szCs w:val="20"/>
        </w:rPr>
        <w:t xml:space="preserve"> </w:t>
      </w:r>
      <w:r w:rsidR="00CC6552" w:rsidRPr="009371D6">
        <w:rPr>
          <w:szCs w:val="20"/>
        </w:rPr>
        <w:t xml:space="preserve">and </w:t>
      </w:r>
      <w:r w:rsidR="0059593F" w:rsidRPr="009371D6">
        <w:rPr>
          <w:szCs w:val="20"/>
        </w:rPr>
        <w:t>animal welfare organisations.</w:t>
      </w:r>
      <w:r w:rsidR="00CC6552" w:rsidRPr="009371D6">
        <w:rPr>
          <w:szCs w:val="20"/>
        </w:rPr>
        <w:t xml:space="preserve"> </w:t>
      </w:r>
    </w:p>
    <w:p w14:paraId="3664FA56" w14:textId="77777777" w:rsidR="00B65589" w:rsidRPr="009371D6" w:rsidRDefault="00B65589" w:rsidP="00E224C4">
      <w:pPr>
        <w:rPr>
          <w:szCs w:val="20"/>
        </w:rPr>
      </w:pPr>
    </w:p>
    <w:p w14:paraId="28F8C1BA" w14:textId="6B634C9C" w:rsidR="00E224C4" w:rsidRPr="009371D6" w:rsidRDefault="006A0A70" w:rsidP="00E224C4">
      <w:pPr>
        <w:rPr>
          <w:szCs w:val="20"/>
        </w:rPr>
      </w:pPr>
      <w:r w:rsidRPr="009371D6">
        <w:rPr>
          <w:szCs w:val="20"/>
        </w:rPr>
        <w:t xml:space="preserve">The </w:t>
      </w:r>
      <w:r w:rsidR="00136A58">
        <w:rPr>
          <w:szCs w:val="20"/>
        </w:rPr>
        <w:t>meat</w:t>
      </w:r>
      <w:r w:rsidR="00B65589" w:rsidRPr="009371D6">
        <w:rPr>
          <w:szCs w:val="20"/>
        </w:rPr>
        <w:t xml:space="preserve"> </w:t>
      </w:r>
      <w:r w:rsidR="005D3206">
        <w:rPr>
          <w:szCs w:val="20"/>
        </w:rPr>
        <w:t>processing industry</w:t>
      </w:r>
      <w:r w:rsidRPr="009371D6">
        <w:rPr>
          <w:szCs w:val="20"/>
        </w:rPr>
        <w:t xml:space="preserve"> is further </w:t>
      </w:r>
      <w:r w:rsidR="0066307A" w:rsidRPr="009371D6">
        <w:rPr>
          <w:szCs w:val="20"/>
        </w:rPr>
        <w:t>seeking greater harmonisation of evidence</w:t>
      </w:r>
      <w:r w:rsidRPr="009371D6">
        <w:rPr>
          <w:szCs w:val="20"/>
        </w:rPr>
        <w:t>-</w:t>
      </w:r>
      <w:r w:rsidR="0066307A" w:rsidRPr="009371D6">
        <w:rPr>
          <w:szCs w:val="20"/>
        </w:rPr>
        <w:t xml:space="preserve">based animal welfare practices through </w:t>
      </w:r>
      <w:r w:rsidRPr="009371D6">
        <w:rPr>
          <w:szCs w:val="20"/>
        </w:rPr>
        <w:t xml:space="preserve">the </w:t>
      </w:r>
      <w:r w:rsidR="0066307A" w:rsidRPr="009371D6">
        <w:rPr>
          <w:szCs w:val="20"/>
        </w:rPr>
        <w:t xml:space="preserve">development and </w:t>
      </w:r>
      <w:r w:rsidRPr="009371D6">
        <w:rPr>
          <w:szCs w:val="20"/>
        </w:rPr>
        <w:t xml:space="preserve">implementation </w:t>
      </w:r>
      <w:r w:rsidR="0066307A" w:rsidRPr="009371D6">
        <w:rPr>
          <w:szCs w:val="20"/>
        </w:rPr>
        <w:t>of the Australian Animal Welfare Standards and Guidelines for Livestock at Processing Establishments. The</w:t>
      </w:r>
      <w:r w:rsidR="00D95778" w:rsidRPr="009371D6">
        <w:rPr>
          <w:szCs w:val="20"/>
        </w:rPr>
        <w:t>se</w:t>
      </w:r>
      <w:r w:rsidR="0066307A" w:rsidRPr="009371D6">
        <w:rPr>
          <w:szCs w:val="20"/>
        </w:rPr>
        <w:t xml:space="preserve"> national processing standards are anticipated to be finalised </w:t>
      </w:r>
      <w:r w:rsidR="00D95778" w:rsidRPr="009371D6">
        <w:rPr>
          <w:szCs w:val="20"/>
        </w:rPr>
        <w:t>in</w:t>
      </w:r>
      <w:r w:rsidR="0066307A" w:rsidRPr="009371D6">
        <w:rPr>
          <w:szCs w:val="20"/>
        </w:rPr>
        <w:t xml:space="preserve"> mid-2023</w:t>
      </w:r>
      <w:r w:rsidR="00D95778" w:rsidRPr="009371D6">
        <w:rPr>
          <w:rStyle w:val="FootnoteReference"/>
          <w:sz w:val="20"/>
          <w:szCs w:val="20"/>
        </w:rPr>
        <w:footnoteReference w:id="14"/>
      </w:r>
      <w:r w:rsidR="00CD74C2" w:rsidRPr="009371D6">
        <w:rPr>
          <w:szCs w:val="20"/>
        </w:rPr>
        <w:t>.</w:t>
      </w:r>
    </w:p>
    <w:p w14:paraId="436B61F2" w14:textId="77777777" w:rsidR="00424C91" w:rsidRPr="009371D6" w:rsidRDefault="00424C91" w:rsidP="00E224C4">
      <w:pPr>
        <w:rPr>
          <w:szCs w:val="20"/>
        </w:rPr>
      </w:pPr>
    </w:p>
    <w:p w14:paraId="49C19B2C" w14:textId="1D8D967C" w:rsidR="00FB2D38" w:rsidRDefault="00B16027" w:rsidP="00FB2D38">
      <w:pPr>
        <w:rPr>
          <w:szCs w:val="20"/>
        </w:rPr>
      </w:pPr>
      <w:r w:rsidRPr="009371D6">
        <w:rPr>
          <w:szCs w:val="20"/>
        </w:rPr>
        <w:t>The meat i</w:t>
      </w:r>
      <w:r w:rsidR="00FC3794" w:rsidRPr="009371D6">
        <w:rPr>
          <w:szCs w:val="20"/>
        </w:rPr>
        <w:t xml:space="preserve">ndustry </w:t>
      </w:r>
      <w:r w:rsidRPr="009371D6">
        <w:rPr>
          <w:szCs w:val="20"/>
        </w:rPr>
        <w:t xml:space="preserve">is </w:t>
      </w:r>
      <w:r w:rsidR="00F96501" w:rsidRPr="009371D6">
        <w:rPr>
          <w:szCs w:val="20"/>
        </w:rPr>
        <w:t xml:space="preserve">implementing other </w:t>
      </w:r>
      <w:r w:rsidR="00823D8B" w:rsidRPr="009371D6">
        <w:rPr>
          <w:szCs w:val="20"/>
        </w:rPr>
        <w:t>continuous improvement</w:t>
      </w:r>
      <w:r w:rsidR="00F96501" w:rsidRPr="009371D6">
        <w:rPr>
          <w:szCs w:val="20"/>
        </w:rPr>
        <w:t xml:space="preserve"> strategies</w:t>
      </w:r>
      <w:r w:rsidR="00823D8B" w:rsidRPr="009371D6">
        <w:rPr>
          <w:szCs w:val="20"/>
        </w:rPr>
        <w:t xml:space="preserve">, including through skills and training. </w:t>
      </w:r>
      <w:r w:rsidR="00B44E11" w:rsidRPr="009371D6">
        <w:rPr>
          <w:szCs w:val="20"/>
        </w:rPr>
        <w:t xml:space="preserve">In 2020, </w:t>
      </w:r>
      <w:r w:rsidR="00FB2D38" w:rsidRPr="009371D6">
        <w:rPr>
          <w:szCs w:val="20"/>
        </w:rPr>
        <w:t xml:space="preserve">the chicken meat </w:t>
      </w:r>
      <w:r w:rsidRPr="009371D6">
        <w:rPr>
          <w:szCs w:val="20"/>
        </w:rPr>
        <w:t xml:space="preserve">sector </w:t>
      </w:r>
      <w:r w:rsidR="00FB2D38" w:rsidRPr="009371D6">
        <w:rPr>
          <w:szCs w:val="20"/>
        </w:rPr>
        <w:t>developed guidelines to minimise the risks associated with potential production system closures and to guarantee suitable monitoring of animal welfare during substantial business disruptions, as seen with COVID-19. A new training program was also developed to deliver ‘effective stunning and slaughter of poultry training workshops’ across processing plants in Australia to improve poultry welfare outcomes</w:t>
      </w:r>
      <w:r w:rsidR="00FB2D38" w:rsidRPr="009371D6">
        <w:rPr>
          <w:rStyle w:val="FootnoteReference"/>
          <w:sz w:val="20"/>
          <w:szCs w:val="20"/>
        </w:rPr>
        <w:footnoteReference w:id="15"/>
      </w:r>
      <w:r w:rsidR="003C6B41" w:rsidRPr="009371D6">
        <w:rPr>
          <w:szCs w:val="20"/>
        </w:rPr>
        <w:t xml:space="preserve">. </w:t>
      </w:r>
      <w:r w:rsidR="00647B87" w:rsidRPr="009371D6">
        <w:rPr>
          <w:szCs w:val="20"/>
        </w:rPr>
        <w:t xml:space="preserve">The training is targeted at </w:t>
      </w:r>
      <w:r w:rsidR="000B302F" w:rsidRPr="009371D6">
        <w:rPr>
          <w:szCs w:val="20"/>
        </w:rPr>
        <w:t>t</w:t>
      </w:r>
      <w:r w:rsidR="00647B87" w:rsidRPr="009371D6">
        <w:rPr>
          <w:szCs w:val="20"/>
        </w:rPr>
        <w:t xml:space="preserve">eam </w:t>
      </w:r>
      <w:r w:rsidR="000B302F" w:rsidRPr="009371D6">
        <w:rPr>
          <w:szCs w:val="20"/>
        </w:rPr>
        <w:t>l</w:t>
      </w:r>
      <w:r w:rsidR="00647B87" w:rsidRPr="009371D6">
        <w:rPr>
          <w:szCs w:val="20"/>
        </w:rPr>
        <w:t xml:space="preserve">eaders and QA personnel </w:t>
      </w:r>
      <w:r w:rsidR="00CC476C" w:rsidRPr="009371D6">
        <w:rPr>
          <w:szCs w:val="20"/>
        </w:rPr>
        <w:t>who have</w:t>
      </w:r>
      <w:r w:rsidR="00647B87" w:rsidRPr="009371D6">
        <w:rPr>
          <w:szCs w:val="20"/>
        </w:rPr>
        <w:t xml:space="preserve"> responsibilities for managing and monitoring the stunning and slaughter process. </w:t>
      </w:r>
      <w:r w:rsidR="0010496F" w:rsidRPr="009371D6">
        <w:rPr>
          <w:szCs w:val="20"/>
        </w:rPr>
        <w:t>P</w:t>
      </w:r>
      <w:r w:rsidR="00470C1E" w:rsidRPr="009371D6">
        <w:rPr>
          <w:szCs w:val="20"/>
        </w:rPr>
        <w:t xml:space="preserve">articipants address </w:t>
      </w:r>
      <w:r w:rsidR="0010496F" w:rsidRPr="009371D6">
        <w:rPr>
          <w:szCs w:val="20"/>
        </w:rPr>
        <w:t xml:space="preserve">both </w:t>
      </w:r>
      <w:r w:rsidR="00470C1E" w:rsidRPr="009371D6">
        <w:rPr>
          <w:szCs w:val="20"/>
        </w:rPr>
        <w:t xml:space="preserve">performance </w:t>
      </w:r>
      <w:r w:rsidR="003C167E" w:rsidRPr="009371D6">
        <w:rPr>
          <w:szCs w:val="20"/>
        </w:rPr>
        <w:t>criteria</w:t>
      </w:r>
      <w:r w:rsidR="00470C1E" w:rsidRPr="009371D6">
        <w:rPr>
          <w:szCs w:val="20"/>
        </w:rPr>
        <w:t xml:space="preserve"> </w:t>
      </w:r>
      <w:r w:rsidR="0010496F" w:rsidRPr="009371D6">
        <w:rPr>
          <w:szCs w:val="20"/>
        </w:rPr>
        <w:t xml:space="preserve">and </w:t>
      </w:r>
      <w:r w:rsidR="00470C1E" w:rsidRPr="009371D6">
        <w:rPr>
          <w:szCs w:val="20"/>
        </w:rPr>
        <w:t xml:space="preserve">knowledge </w:t>
      </w:r>
      <w:r w:rsidR="003C167E" w:rsidRPr="009371D6">
        <w:rPr>
          <w:szCs w:val="20"/>
        </w:rPr>
        <w:t xml:space="preserve">components to better understand </w:t>
      </w:r>
      <w:r w:rsidR="00CC476C" w:rsidRPr="009371D6">
        <w:rPr>
          <w:szCs w:val="20"/>
        </w:rPr>
        <w:t>commercial poultry stunning and slaughter systems</w:t>
      </w:r>
      <w:r w:rsidR="0010496F" w:rsidRPr="009371D6">
        <w:rPr>
          <w:szCs w:val="20"/>
        </w:rPr>
        <w:t xml:space="preserve"> because of the </w:t>
      </w:r>
      <w:r w:rsidR="00CC476C" w:rsidRPr="009371D6">
        <w:rPr>
          <w:szCs w:val="20"/>
        </w:rPr>
        <w:t xml:space="preserve">impact </w:t>
      </w:r>
      <w:r w:rsidR="0012516C" w:rsidRPr="009371D6">
        <w:rPr>
          <w:szCs w:val="20"/>
        </w:rPr>
        <w:t xml:space="preserve">these have </w:t>
      </w:r>
      <w:r w:rsidR="00CC476C" w:rsidRPr="009371D6">
        <w:rPr>
          <w:szCs w:val="20"/>
        </w:rPr>
        <w:t xml:space="preserve">on welfare outcomes and product quality. </w:t>
      </w:r>
    </w:p>
    <w:p w14:paraId="5BD2C71F" w14:textId="77777777" w:rsidR="00C6344A" w:rsidRPr="009371D6" w:rsidRDefault="00C6344A" w:rsidP="00FB2D38">
      <w:pPr>
        <w:rPr>
          <w:szCs w:val="20"/>
        </w:rPr>
      </w:pPr>
    </w:p>
    <w:p w14:paraId="54A7795C" w14:textId="423114FB" w:rsidR="003A29CB" w:rsidRDefault="00D018E9" w:rsidP="003A29CB">
      <w:pPr>
        <w:pStyle w:val="Heading3"/>
      </w:pPr>
      <w:bookmarkStart w:id="29" w:name="_Toc115363697"/>
      <w:r w:rsidRPr="00D018E9">
        <w:t>Ecosystem and Biodiversity Management, and Climate Adaptation</w:t>
      </w:r>
      <w:bookmarkEnd w:id="29"/>
    </w:p>
    <w:p w14:paraId="51E4C7C5" w14:textId="77DE486C" w:rsidR="00E57BBF" w:rsidRPr="009371D6" w:rsidRDefault="001B29AF" w:rsidP="00E57BBF">
      <w:pPr>
        <w:rPr>
          <w:szCs w:val="20"/>
        </w:rPr>
      </w:pPr>
      <w:r w:rsidRPr="009371D6">
        <w:rPr>
          <w:szCs w:val="20"/>
        </w:rPr>
        <w:t xml:space="preserve">The </w:t>
      </w:r>
      <w:r w:rsidRPr="009371D6">
        <w:rPr>
          <w:i/>
          <w:iCs/>
          <w:szCs w:val="20"/>
        </w:rPr>
        <w:t>Agribusiness, Food and Fibre Industries Skills Report</w:t>
      </w:r>
      <w:r w:rsidRPr="009371D6">
        <w:rPr>
          <w:szCs w:val="20"/>
        </w:rPr>
        <w:t xml:space="preserve"> </w:t>
      </w:r>
      <w:r w:rsidR="00B312DA" w:rsidRPr="009371D6">
        <w:rPr>
          <w:szCs w:val="20"/>
        </w:rPr>
        <w:t>describes wider contexts surrounding the meat processing industry</w:t>
      </w:r>
      <w:r w:rsidR="00855CF1">
        <w:rPr>
          <w:szCs w:val="20"/>
        </w:rPr>
        <w:t>,</w:t>
      </w:r>
      <w:r w:rsidR="00B312DA" w:rsidRPr="009371D6">
        <w:rPr>
          <w:szCs w:val="20"/>
        </w:rPr>
        <w:t xml:space="preserve"> </w:t>
      </w:r>
      <w:r w:rsidR="00AA6DBC" w:rsidRPr="009371D6">
        <w:rPr>
          <w:szCs w:val="20"/>
        </w:rPr>
        <w:t xml:space="preserve">related </w:t>
      </w:r>
      <w:r w:rsidR="00B312DA" w:rsidRPr="009371D6">
        <w:rPr>
          <w:szCs w:val="20"/>
        </w:rPr>
        <w:t>actions on ecosystem management and environmental sustainability</w:t>
      </w:r>
      <w:r w:rsidR="00855CF1">
        <w:rPr>
          <w:szCs w:val="20"/>
        </w:rPr>
        <w:t xml:space="preserve">, and an overview of the </w:t>
      </w:r>
      <w:r w:rsidR="00855CF1" w:rsidRPr="00A441E4">
        <w:rPr>
          <w:i/>
          <w:iCs/>
        </w:rPr>
        <w:t>Australia State of the Environment 2021</w:t>
      </w:r>
      <w:r w:rsidR="00855CF1">
        <w:t xml:space="preserve"> report</w:t>
      </w:r>
      <w:r w:rsidR="00B312DA" w:rsidRPr="009371D6">
        <w:rPr>
          <w:szCs w:val="20"/>
        </w:rPr>
        <w:t>.</w:t>
      </w:r>
      <w:r w:rsidR="005D2CAA" w:rsidRPr="009371D6">
        <w:rPr>
          <w:szCs w:val="20"/>
        </w:rPr>
        <w:t xml:space="preserve"> This is especially </w:t>
      </w:r>
      <w:r w:rsidR="00E270C7" w:rsidRPr="009371D6">
        <w:rPr>
          <w:szCs w:val="20"/>
        </w:rPr>
        <w:t xml:space="preserve">relevant to beef production, which, across the value chain, is </w:t>
      </w:r>
      <w:r w:rsidR="006F443D" w:rsidRPr="009371D6">
        <w:rPr>
          <w:szCs w:val="20"/>
        </w:rPr>
        <w:t xml:space="preserve">seeking to mitigate and </w:t>
      </w:r>
      <w:r w:rsidR="00C4501B" w:rsidRPr="009371D6">
        <w:rPr>
          <w:szCs w:val="20"/>
        </w:rPr>
        <w:t>minimise</w:t>
      </w:r>
      <w:r w:rsidR="006F443D" w:rsidRPr="009371D6">
        <w:rPr>
          <w:szCs w:val="20"/>
        </w:rPr>
        <w:t xml:space="preserve"> greenhouse gas emissions</w:t>
      </w:r>
      <w:r w:rsidR="00C4501B" w:rsidRPr="009371D6">
        <w:rPr>
          <w:szCs w:val="20"/>
        </w:rPr>
        <w:t xml:space="preserve"> associated with rumination, energy consumption, vegetation management, feed sourcing</w:t>
      </w:r>
      <w:r w:rsidR="002B3899" w:rsidRPr="009371D6">
        <w:rPr>
          <w:szCs w:val="20"/>
        </w:rPr>
        <w:t xml:space="preserve"> (including </w:t>
      </w:r>
      <w:r w:rsidR="00E06CFF" w:rsidRPr="009371D6">
        <w:rPr>
          <w:szCs w:val="20"/>
        </w:rPr>
        <w:t>feed that inhibits methane production</w:t>
      </w:r>
      <w:r w:rsidR="00022D18" w:rsidRPr="009371D6">
        <w:rPr>
          <w:szCs w:val="20"/>
        </w:rPr>
        <w:t>, e.g. the seaweed Red Asparagopsis)</w:t>
      </w:r>
      <w:r w:rsidR="00C4501B" w:rsidRPr="009371D6">
        <w:rPr>
          <w:szCs w:val="20"/>
        </w:rPr>
        <w:t>, soil carbon and sequestration</w:t>
      </w:r>
      <w:r w:rsidR="0034411F" w:rsidRPr="009371D6">
        <w:rPr>
          <w:rStyle w:val="FootnoteReference"/>
          <w:sz w:val="20"/>
          <w:szCs w:val="20"/>
        </w:rPr>
        <w:footnoteReference w:id="16"/>
      </w:r>
      <w:r w:rsidR="00C4501B" w:rsidRPr="009371D6">
        <w:rPr>
          <w:szCs w:val="20"/>
        </w:rPr>
        <w:t>.</w:t>
      </w:r>
      <w:r w:rsidR="008D054F" w:rsidRPr="009371D6">
        <w:rPr>
          <w:szCs w:val="20"/>
        </w:rPr>
        <w:t xml:space="preserve"> </w:t>
      </w:r>
      <w:r w:rsidR="00563A6D" w:rsidRPr="009371D6">
        <w:rPr>
          <w:szCs w:val="20"/>
        </w:rPr>
        <w:t xml:space="preserve">The Australian Red Meat Industry's </w:t>
      </w:r>
      <w:r w:rsidR="00563A6D" w:rsidRPr="009371D6">
        <w:rPr>
          <w:i/>
          <w:iCs/>
          <w:szCs w:val="20"/>
        </w:rPr>
        <w:t>Carbon Neutral by 2030 Roadmap</w:t>
      </w:r>
      <w:r w:rsidR="00563A6D" w:rsidRPr="009371D6">
        <w:rPr>
          <w:szCs w:val="20"/>
        </w:rPr>
        <w:t xml:space="preserve"> outlines four key </w:t>
      </w:r>
      <w:r w:rsidR="003F7860" w:rsidRPr="009371D6">
        <w:rPr>
          <w:szCs w:val="20"/>
        </w:rPr>
        <w:t xml:space="preserve">skills and </w:t>
      </w:r>
      <w:r w:rsidR="003F7860" w:rsidRPr="009371D6">
        <w:rPr>
          <w:szCs w:val="20"/>
        </w:rPr>
        <w:lastRenderedPageBreak/>
        <w:t xml:space="preserve">knowledge areas </w:t>
      </w:r>
      <w:r w:rsidR="009052D6" w:rsidRPr="009371D6">
        <w:rPr>
          <w:szCs w:val="20"/>
        </w:rPr>
        <w:t xml:space="preserve">that </w:t>
      </w:r>
      <w:r w:rsidR="005F5D20">
        <w:rPr>
          <w:szCs w:val="20"/>
        </w:rPr>
        <w:t xml:space="preserve">are being </w:t>
      </w:r>
      <w:r w:rsidR="009052D6" w:rsidRPr="009371D6">
        <w:rPr>
          <w:szCs w:val="20"/>
        </w:rPr>
        <w:t xml:space="preserve">developed in order to realise </w:t>
      </w:r>
      <w:r w:rsidR="009519AF" w:rsidRPr="009371D6">
        <w:rPr>
          <w:szCs w:val="20"/>
        </w:rPr>
        <w:t>carbon neutrality</w:t>
      </w:r>
      <w:r w:rsidR="00563A6D" w:rsidRPr="009371D6">
        <w:rPr>
          <w:szCs w:val="20"/>
        </w:rPr>
        <w:t xml:space="preserve">: emissions avoidance, carbon storage, integrated management systems, and leadership building. </w:t>
      </w:r>
      <w:r w:rsidR="00E132D6" w:rsidRPr="009371D6">
        <w:rPr>
          <w:szCs w:val="20"/>
        </w:rPr>
        <w:t xml:space="preserve">Already, a small but growing number of Australian beef brands </w:t>
      </w:r>
      <w:r w:rsidR="009371D6" w:rsidRPr="009371D6">
        <w:rPr>
          <w:szCs w:val="20"/>
        </w:rPr>
        <w:t xml:space="preserve">are </w:t>
      </w:r>
      <w:r w:rsidR="00E132D6" w:rsidRPr="009371D6">
        <w:rPr>
          <w:szCs w:val="20"/>
        </w:rPr>
        <w:t>leading in these areas and are displaying claims of being carbon neutral or methane-reduced on their products</w:t>
      </w:r>
      <w:r w:rsidR="00E132D6" w:rsidRPr="009371D6">
        <w:rPr>
          <w:rStyle w:val="FootnoteReference"/>
          <w:sz w:val="20"/>
          <w:szCs w:val="20"/>
        </w:rPr>
        <w:footnoteReference w:id="17"/>
      </w:r>
      <w:r w:rsidR="00E132D6" w:rsidRPr="009371D6">
        <w:rPr>
          <w:szCs w:val="20"/>
        </w:rPr>
        <w:t>.</w:t>
      </w:r>
      <w:r w:rsidR="002E457B" w:rsidRPr="009371D6">
        <w:rPr>
          <w:szCs w:val="20"/>
        </w:rPr>
        <w:t xml:space="preserve"> </w:t>
      </w:r>
      <w:r w:rsidR="00E57BBF" w:rsidRPr="009371D6">
        <w:rPr>
          <w:szCs w:val="20"/>
        </w:rPr>
        <w:t>The chicken meat industry, meanwhile, is seeking to improve its environmental performance by reducing odour and litter and better disposing of waste, both in internal shed and outdoor settings</w:t>
      </w:r>
      <w:r w:rsidR="00E57BBF" w:rsidRPr="009371D6">
        <w:rPr>
          <w:rStyle w:val="FootnoteReference"/>
          <w:sz w:val="20"/>
          <w:szCs w:val="20"/>
        </w:rPr>
        <w:footnoteReference w:id="18"/>
      </w:r>
      <w:r w:rsidR="00E57BBF" w:rsidRPr="009371D6">
        <w:rPr>
          <w:szCs w:val="20"/>
        </w:rPr>
        <w:t>.</w:t>
      </w:r>
    </w:p>
    <w:p w14:paraId="7CA7B261" w14:textId="50D0AEC0" w:rsidR="00B312DA" w:rsidRPr="009371D6" w:rsidRDefault="00B312DA" w:rsidP="00E539D1">
      <w:pPr>
        <w:rPr>
          <w:szCs w:val="20"/>
        </w:rPr>
      </w:pPr>
    </w:p>
    <w:p w14:paraId="2ADA58BC" w14:textId="1463B867" w:rsidR="005E232C" w:rsidRPr="009371D6" w:rsidRDefault="005E232C" w:rsidP="005E232C">
      <w:pPr>
        <w:rPr>
          <w:szCs w:val="20"/>
        </w:rPr>
      </w:pPr>
      <w:r w:rsidRPr="009371D6">
        <w:rPr>
          <w:szCs w:val="20"/>
        </w:rPr>
        <w:t>Climate change, including extreme events such as drought, bushfires and floods, is impacting on meat processing inputs. For example, seasonal conditions in sheep producing regions influence flock sizes, with the national flock rising from its lowest size in 100 years in 2020 (64 million head) to almost 71 million head in 2021</w:t>
      </w:r>
      <w:r w:rsidRPr="009371D6">
        <w:rPr>
          <w:rStyle w:val="FootnoteReference"/>
          <w:sz w:val="20"/>
          <w:szCs w:val="20"/>
        </w:rPr>
        <w:footnoteReference w:id="19"/>
      </w:r>
      <w:r w:rsidRPr="009371D6">
        <w:rPr>
          <w:szCs w:val="20"/>
        </w:rPr>
        <w:t>. This means processors need to plan operations for years with both low and high volumes of animals for slaughter. Meat &amp; Livestock Australia (MLA) describe an ‘influx’ of lambs for the market in 2022, which has seen processing volumes rise by almost 20% compared to the previous year. This gives rise to logistical challenges, but also increased opportunities for accessing high-value export markets, including with the Australia-UK Free Trade Agreement (A-UK FTA)</w:t>
      </w:r>
      <w:r w:rsidRPr="009371D6">
        <w:rPr>
          <w:rStyle w:val="FootnoteReference"/>
          <w:sz w:val="20"/>
          <w:szCs w:val="20"/>
        </w:rPr>
        <w:footnoteReference w:id="20"/>
      </w:r>
      <w:r w:rsidRPr="009371D6">
        <w:rPr>
          <w:szCs w:val="20"/>
        </w:rPr>
        <w:t xml:space="preserve">. </w:t>
      </w:r>
    </w:p>
    <w:p w14:paraId="50A60A7A" w14:textId="0CECD9F8" w:rsidR="002C7EB7" w:rsidRPr="009371D6" w:rsidRDefault="002C7EB7" w:rsidP="005E232C">
      <w:pPr>
        <w:rPr>
          <w:szCs w:val="20"/>
        </w:rPr>
      </w:pPr>
    </w:p>
    <w:p w14:paraId="09541ABF" w14:textId="64D1372F" w:rsidR="003A0A39" w:rsidRPr="009371D6" w:rsidRDefault="00FD05FB" w:rsidP="00107029">
      <w:pPr>
        <w:rPr>
          <w:szCs w:val="20"/>
        </w:rPr>
      </w:pPr>
      <w:r w:rsidRPr="009371D6">
        <w:rPr>
          <w:szCs w:val="20"/>
        </w:rPr>
        <w:t>R</w:t>
      </w:r>
      <w:r w:rsidR="002C7EB7" w:rsidRPr="009371D6">
        <w:rPr>
          <w:szCs w:val="20"/>
        </w:rPr>
        <w:t>educi</w:t>
      </w:r>
      <w:r w:rsidRPr="009371D6">
        <w:rPr>
          <w:szCs w:val="20"/>
        </w:rPr>
        <w:t>ng</w:t>
      </w:r>
      <w:r w:rsidR="002C7EB7" w:rsidRPr="009371D6">
        <w:rPr>
          <w:szCs w:val="20"/>
        </w:rPr>
        <w:t xml:space="preserve"> waste is a key </w:t>
      </w:r>
      <w:r w:rsidR="007F07A2" w:rsidRPr="009371D6">
        <w:rPr>
          <w:szCs w:val="20"/>
        </w:rPr>
        <w:t xml:space="preserve">objective across the meat processing value chain. </w:t>
      </w:r>
      <w:r w:rsidR="00DF062F" w:rsidRPr="009371D6">
        <w:rPr>
          <w:szCs w:val="20"/>
        </w:rPr>
        <w:t xml:space="preserve">The meat industry strives to ensure carcases are utilised as much as possible, including through the </w:t>
      </w:r>
      <w:r w:rsidR="009371D6">
        <w:rPr>
          <w:szCs w:val="20"/>
        </w:rPr>
        <w:t>r</w:t>
      </w:r>
      <w:r w:rsidR="00DF062F" w:rsidRPr="009371D6">
        <w:rPr>
          <w:szCs w:val="20"/>
        </w:rPr>
        <w:t xml:space="preserve">ecovery of by-products such as hides so that they do not become landfill. </w:t>
      </w:r>
      <w:r w:rsidR="00544E87" w:rsidRPr="009371D6">
        <w:rPr>
          <w:szCs w:val="20"/>
        </w:rPr>
        <w:t>Meat and poultry are</w:t>
      </w:r>
      <w:r w:rsidR="00952731" w:rsidRPr="009371D6">
        <w:rPr>
          <w:szCs w:val="20"/>
        </w:rPr>
        <w:t>, however,</w:t>
      </w:r>
      <w:r w:rsidR="00544E87" w:rsidRPr="009371D6">
        <w:rPr>
          <w:szCs w:val="20"/>
        </w:rPr>
        <w:t xml:space="preserve"> the most refrigeration-intensive industries, and b</w:t>
      </w:r>
      <w:r w:rsidR="002E7B81" w:rsidRPr="009371D6">
        <w:rPr>
          <w:szCs w:val="20"/>
        </w:rPr>
        <w:t xml:space="preserve">reaks and deficiencies in the cold food chain </w:t>
      </w:r>
      <w:r w:rsidR="00603C76" w:rsidRPr="009371D6">
        <w:rPr>
          <w:szCs w:val="20"/>
        </w:rPr>
        <w:t xml:space="preserve">have been estimated to </w:t>
      </w:r>
      <w:r w:rsidR="00FE5627" w:rsidRPr="009371D6">
        <w:rPr>
          <w:szCs w:val="20"/>
        </w:rPr>
        <w:t xml:space="preserve">waste </w:t>
      </w:r>
      <w:r w:rsidR="002E7B81" w:rsidRPr="009371D6">
        <w:rPr>
          <w:szCs w:val="20"/>
        </w:rPr>
        <w:t>155</w:t>
      </w:r>
      <w:r w:rsidR="00FE5627" w:rsidRPr="009371D6">
        <w:rPr>
          <w:szCs w:val="20"/>
        </w:rPr>
        <w:t>,000</w:t>
      </w:r>
      <w:r w:rsidR="002E7B81" w:rsidRPr="009371D6">
        <w:rPr>
          <w:szCs w:val="20"/>
        </w:rPr>
        <w:t xml:space="preserve"> tonnes of meat</w:t>
      </w:r>
      <w:r w:rsidR="00FE5627" w:rsidRPr="009371D6">
        <w:rPr>
          <w:szCs w:val="20"/>
        </w:rPr>
        <w:t xml:space="preserve"> (worth</w:t>
      </w:r>
      <w:r w:rsidR="002E7B81" w:rsidRPr="009371D6">
        <w:rPr>
          <w:szCs w:val="20"/>
        </w:rPr>
        <w:t xml:space="preserve"> $670 million</w:t>
      </w:r>
      <w:r w:rsidR="00FE5627" w:rsidRPr="009371D6">
        <w:rPr>
          <w:szCs w:val="20"/>
        </w:rPr>
        <w:t>)</w:t>
      </w:r>
      <w:r w:rsidR="00A477E9" w:rsidRPr="009371D6">
        <w:rPr>
          <w:szCs w:val="20"/>
        </w:rPr>
        <w:t xml:space="preserve"> </w:t>
      </w:r>
      <w:r w:rsidR="002E7B81" w:rsidRPr="009371D6">
        <w:rPr>
          <w:szCs w:val="20"/>
        </w:rPr>
        <w:t>each year</w:t>
      </w:r>
      <w:r w:rsidR="00AC0852" w:rsidRPr="009371D6">
        <w:rPr>
          <w:rStyle w:val="FootnoteReference"/>
          <w:sz w:val="20"/>
          <w:szCs w:val="20"/>
        </w:rPr>
        <w:footnoteReference w:id="21"/>
      </w:r>
      <w:r w:rsidR="002E7B81" w:rsidRPr="009371D6">
        <w:rPr>
          <w:szCs w:val="20"/>
        </w:rPr>
        <w:t>.</w:t>
      </w:r>
      <w:r w:rsidR="00F47C49" w:rsidRPr="009371D6">
        <w:rPr>
          <w:szCs w:val="20"/>
        </w:rPr>
        <w:t xml:space="preserve"> </w:t>
      </w:r>
      <w:r w:rsidR="007C4019" w:rsidRPr="009371D6">
        <w:rPr>
          <w:szCs w:val="20"/>
        </w:rPr>
        <w:t>The refrigerated cold food chain begins in abattoirs, where refrigerati</w:t>
      </w:r>
      <w:r w:rsidR="001C3627" w:rsidRPr="009371D6">
        <w:rPr>
          <w:szCs w:val="20"/>
        </w:rPr>
        <w:t>on</w:t>
      </w:r>
      <w:r w:rsidR="007C4019" w:rsidRPr="009371D6">
        <w:rPr>
          <w:szCs w:val="20"/>
        </w:rPr>
        <w:t xml:space="preserve"> conditions </w:t>
      </w:r>
      <w:r w:rsidR="001C3627" w:rsidRPr="009371D6">
        <w:rPr>
          <w:szCs w:val="20"/>
        </w:rPr>
        <w:t xml:space="preserve">are crucial for </w:t>
      </w:r>
      <w:r w:rsidR="00F21B10" w:rsidRPr="009371D6">
        <w:rPr>
          <w:szCs w:val="20"/>
        </w:rPr>
        <w:t xml:space="preserve">upholding </w:t>
      </w:r>
      <w:r w:rsidR="007C4019" w:rsidRPr="009371D6">
        <w:rPr>
          <w:szCs w:val="20"/>
        </w:rPr>
        <w:t>product quality and minimising bacterial load.</w:t>
      </w:r>
      <w:r w:rsidR="009214A9" w:rsidRPr="009371D6">
        <w:rPr>
          <w:szCs w:val="20"/>
        </w:rPr>
        <w:t xml:space="preserve"> Across the value chain (up to and including retail)</w:t>
      </w:r>
      <w:r w:rsidR="00CE1C44" w:rsidRPr="009371D6">
        <w:rPr>
          <w:szCs w:val="20"/>
        </w:rPr>
        <w:t>, t</w:t>
      </w:r>
      <w:r w:rsidR="00585B4C" w:rsidRPr="009371D6">
        <w:rPr>
          <w:szCs w:val="20"/>
        </w:rPr>
        <w:t xml:space="preserve">he main causes of wastage include packaging failure, cold storage malfunction, </w:t>
      </w:r>
      <w:r w:rsidR="0027637A" w:rsidRPr="009371D6">
        <w:rPr>
          <w:szCs w:val="20"/>
        </w:rPr>
        <w:t xml:space="preserve">and </w:t>
      </w:r>
      <w:r w:rsidR="00585B4C" w:rsidRPr="009371D6">
        <w:rPr>
          <w:szCs w:val="20"/>
        </w:rPr>
        <w:t>transport</w:t>
      </w:r>
      <w:r w:rsidR="0027637A" w:rsidRPr="009371D6">
        <w:rPr>
          <w:szCs w:val="20"/>
        </w:rPr>
        <w:t xml:space="preserve"> refrigeration not being at optimal temperature. </w:t>
      </w:r>
      <w:r w:rsidR="00D0315A" w:rsidRPr="009371D6">
        <w:rPr>
          <w:szCs w:val="20"/>
        </w:rPr>
        <w:t xml:space="preserve">The Red Meat Advisory Council </w:t>
      </w:r>
      <w:r w:rsidR="002E0FB4" w:rsidRPr="009371D6">
        <w:rPr>
          <w:szCs w:val="20"/>
        </w:rPr>
        <w:t xml:space="preserve">are one of several bodies to have </w:t>
      </w:r>
      <w:r w:rsidR="00D0315A" w:rsidRPr="009371D6">
        <w:rPr>
          <w:szCs w:val="20"/>
        </w:rPr>
        <w:t>developed strategic plan</w:t>
      </w:r>
      <w:r w:rsidR="002E0FB4" w:rsidRPr="009371D6">
        <w:rPr>
          <w:szCs w:val="20"/>
        </w:rPr>
        <w:t>s</w:t>
      </w:r>
      <w:r w:rsidR="00D0315A" w:rsidRPr="009371D6">
        <w:rPr>
          <w:szCs w:val="20"/>
        </w:rPr>
        <w:t xml:space="preserve"> </w:t>
      </w:r>
      <w:r w:rsidR="00C0159C" w:rsidRPr="009371D6">
        <w:rPr>
          <w:szCs w:val="20"/>
        </w:rPr>
        <w:t xml:space="preserve">to </w:t>
      </w:r>
      <w:r w:rsidR="0003529C" w:rsidRPr="009371D6">
        <w:rPr>
          <w:szCs w:val="20"/>
        </w:rPr>
        <w:t xml:space="preserve">manage and </w:t>
      </w:r>
      <w:r w:rsidR="00C0159C" w:rsidRPr="009371D6">
        <w:rPr>
          <w:szCs w:val="20"/>
        </w:rPr>
        <w:t xml:space="preserve">reduce production, processing and </w:t>
      </w:r>
      <w:r w:rsidR="0003529C" w:rsidRPr="009371D6">
        <w:rPr>
          <w:szCs w:val="20"/>
        </w:rPr>
        <w:t>consumption</w:t>
      </w:r>
      <w:r w:rsidR="00C0159C" w:rsidRPr="009371D6">
        <w:rPr>
          <w:szCs w:val="20"/>
        </w:rPr>
        <w:t xml:space="preserve"> waste</w:t>
      </w:r>
      <w:r w:rsidR="0003529C" w:rsidRPr="009371D6">
        <w:rPr>
          <w:rStyle w:val="FootnoteReference"/>
          <w:sz w:val="20"/>
          <w:szCs w:val="20"/>
        </w:rPr>
        <w:footnoteReference w:id="22"/>
      </w:r>
      <w:r w:rsidR="00D0315A" w:rsidRPr="009371D6">
        <w:rPr>
          <w:szCs w:val="20"/>
        </w:rPr>
        <w:t xml:space="preserve">. </w:t>
      </w:r>
      <w:r w:rsidR="008A6BBC" w:rsidRPr="009371D6">
        <w:rPr>
          <w:szCs w:val="20"/>
        </w:rPr>
        <w:t xml:space="preserve">To meet </w:t>
      </w:r>
      <w:r w:rsidR="001367FE" w:rsidRPr="009371D6">
        <w:rPr>
          <w:szCs w:val="20"/>
        </w:rPr>
        <w:t>these objectives,</w:t>
      </w:r>
      <w:r w:rsidR="00DC5AC9" w:rsidRPr="009371D6">
        <w:rPr>
          <w:szCs w:val="20"/>
        </w:rPr>
        <w:t xml:space="preserve"> the</w:t>
      </w:r>
      <w:r w:rsidR="001367FE" w:rsidRPr="009371D6">
        <w:rPr>
          <w:szCs w:val="20"/>
        </w:rPr>
        <w:t xml:space="preserve"> industry </w:t>
      </w:r>
      <w:r w:rsidR="00DC5AC9" w:rsidRPr="009371D6">
        <w:rPr>
          <w:szCs w:val="20"/>
        </w:rPr>
        <w:t xml:space="preserve">is </w:t>
      </w:r>
      <w:r w:rsidR="001367FE" w:rsidRPr="009371D6">
        <w:rPr>
          <w:szCs w:val="20"/>
        </w:rPr>
        <w:t xml:space="preserve">exploring and implementing best practice </w:t>
      </w:r>
      <w:r w:rsidR="00D500B3" w:rsidRPr="009371D6">
        <w:rPr>
          <w:szCs w:val="20"/>
        </w:rPr>
        <w:t xml:space="preserve">processes </w:t>
      </w:r>
      <w:r w:rsidR="00061E0F" w:rsidRPr="009371D6">
        <w:rPr>
          <w:szCs w:val="20"/>
        </w:rPr>
        <w:t xml:space="preserve">and skills development </w:t>
      </w:r>
      <w:r w:rsidR="00D500B3" w:rsidRPr="009371D6">
        <w:rPr>
          <w:szCs w:val="20"/>
        </w:rPr>
        <w:t xml:space="preserve">for </w:t>
      </w:r>
      <w:r w:rsidR="001F3468" w:rsidRPr="009371D6">
        <w:rPr>
          <w:szCs w:val="20"/>
        </w:rPr>
        <w:t>controlling</w:t>
      </w:r>
      <w:r w:rsidR="00D500B3" w:rsidRPr="009371D6">
        <w:rPr>
          <w:szCs w:val="20"/>
        </w:rPr>
        <w:t xml:space="preserve"> traceability systems</w:t>
      </w:r>
      <w:r w:rsidR="00061E0F" w:rsidRPr="009371D6">
        <w:rPr>
          <w:szCs w:val="20"/>
        </w:rPr>
        <w:t xml:space="preserve">, </w:t>
      </w:r>
      <w:r w:rsidR="00806A0D" w:rsidRPr="009371D6">
        <w:rPr>
          <w:szCs w:val="20"/>
        </w:rPr>
        <w:t>upholding equipment and insulation standards</w:t>
      </w:r>
      <w:r w:rsidR="00D620B0" w:rsidRPr="009371D6">
        <w:rPr>
          <w:szCs w:val="20"/>
        </w:rPr>
        <w:t xml:space="preserve"> and</w:t>
      </w:r>
      <w:r w:rsidR="00061E0F" w:rsidRPr="009371D6">
        <w:rPr>
          <w:szCs w:val="20"/>
        </w:rPr>
        <w:t xml:space="preserve"> </w:t>
      </w:r>
      <w:r w:rsidR="00BD78D3" w:rsidRPr="009371D6">
        <w:rPr>
          <w:szCs w:val="20"/>
        </w:rPr>
        <w:t>utilising the most appropriate packaging (including greater use of vacuum packing and freezing to improve shelf life</w:t>
      </w:r>
      <w:r w:rsidR="00345C64" w:rsidRPr="009371D6">
        <w:rPr>
          <w:szCs w:val="20"/>
        </w:rPr>
        <w:t xml:space="preserve"> and reduce the intensity of refrigeration requirements</w:t>
      </w:r>
      <w:r w:rsidR="00BD78D3" w:rsidRPr="009371D6">
        <w:rPr>
          <w:szCs w:val="20"/>
        </w:rPr>
        <w:t>)</w:t>
      </w:r>
      <w:r w:rsidR="00E444B3" w:rsidRPr="009371D6">
        <w:rPr>
          <w:szCs w:val="20"/>
        </w:rPr>
        <w:t>.</w:t>
      </w:r>
    </w:p>
    <w:p w14:paraId="402C007E" w14:textId="731BB863" w:rsidR="00861D84" w:rsidRPr="009371D6" w:rsidRDefault="00861D84" w:rsidP="00107029">
      <w:pPr>
        <w:rPr>
          <w:szCs w:val="20"/>
        </w:rPr>
      </w:pPr>
    </w:p>
    <w:p w14:paraId="2CD0CC78" w14:textId="7A7424E6" w:rsidR="000A6141" w:rsidRPr="009371D6" w:rsidRDefault="00266994" w:rsidP="00E539D1">
      <w:pPr>
        <w:rPr>
          <w:szCs w:val="20"/>
        </w:rPr>
      </w:pPr>
      <w:r w:rsidRPr="009371D6">
        <w:rPr>
          <w:szCs w:val="20"/>
        </w:rPr>
        <w:t xml:space="preserve">The Australian Meat Processor Corporation (AMPC) is </w:t>
      </w:r>
      <w:r w:rsidR="00F54BDD" w:rsidRPr="009371D6">
        <w:rPr>
          <w:szCs w:val="20"/>
        </w:rPr>
        <w:t>leading</w:t>
      </w:r>
      <w:r w:rsidRPr="009371D6">
        <w:rPr>
          <w:szCs w:val="20"/>
        </w:rPr>
        <w:t xml:space="preserve"> projects </w:t>
      </w:r>
      <w:r w:rsidR="0028722F" w:rsidRPr="009371D6">
        <w:rPr>
          <w:szCs w:val="20"/>
        </w:rPr>
        <w:t>‘to help maximise the efficiency and viability of the red meat processing sector by supporting the development of cross-sectoral solutions that enhance the sustainability of red meat processing, and neighbouring industries, through circular economy approaches</w:t>
      </w:r>
      <w:r w:rsidR="00993B48" w:rsidRPr="009371D6">
        <w:rPr>
          <w:szCs w:val="20"/>
        </w:rPr>
        <w:t>’</w:t>
      </w:r>
      <w:r w:rsidR="00993B48" w:rsidRPr="009371D6">
        <w:rPr>
          <w:rStyle w:val="FootnoteReference"/>
          <w:sz w:val="20"/>
          <w:szCs w:val="20"/>
        </w:rPr>
        <w:footnoteReference w:id="23"/>
      </w:r>
      <w:r w:rsidR="00993B48" w:rsidRPr="009371D6">
        <w:rPr>
          <w:szCs w:val="20"/>
        </w:rPr>
        <w:t>.</w:t>
      </w:r>
      <w:r w:rsidR="005D7459" w:rsidRPr="009371D6">
        <w:rPr>
          <w:szCs w:val="20"/>
        </w:rPr>
        <w:t xml:space="preserve"> </w:t>
      </w:r>
      <w:r w:rsidR="00637F15" w:rsidRPr="009371D6">
        <w:rPr>
          <w:szCs w:val="20"/>
        </w:rPr>
        <w:t xml:space="preserve">With partners including </w:t>
      </w:r>
      <w:r w:rsidR="006918E2" w:rsidRPr="009371D6">
        <w:rPr>
          <w:szCs w:val="20"/>
        </w:rPr>
        <w:t>MLA</w:t>
      </w:r>
      <w:r w:rsidR="007F77A1" w:rsidRPr="009371D6">
        <w:rPr>
          <w:szCs w:val="20"/>
        </w:rPr>
        <w:t xml:space="preserve"> and</w:t>
      </w:r>
      <w:r w:rsidR="000924F8" w:rsidRPr="009371D6">
        <w:rPr>
          <w:szCs w:val="20"/>
        </w:rPr>
        <w:t xml:space="preserve"> </w:t>
      </w:r>
      <w:r w:rsidR="00637F15" w:rsidRPr="009371D6">
        <w:rPr>
          <w:szCs w:val="20"/>
        </w:rPr>
        <w:t xml:space="preserve">the Australian Government Department of Agriculture, Water and the Environment </w:t>
      </w:r>
      <w:r w:rsidR="000924F8" w:rsidRPr="009371D6">
        <w:rPr>
          <w:szCs w:val="20"/>
        </w:rPr>
        <w:t>(</w:t>
      </w:r>
      <w:r w:rsidR="00637F15" w:rsidRPr="009371D6">
        <w:rPr>
          <w:szCs w:val="20"/>
        </w:rPr>
        <w:t>as part of its Rural R&amp;D program</w:t>
      </w:r>
      <w:r w:rsidR="00C25A6D" w:rsidRPr="009371D6">
        <w:rPr>
          <w:szCs w:val="20"/>
        </w:rPr>
        <w:t>), a</w:t>
      </w:r>
      <w:r w:rsidR="006E4CC4" w:rsidRPr="009371D6">
        <w:rPr>
          <w:szCs w:val="20"/>
        </w:rPr>
        <w:t>n</w:t>
      </w:r>
      <w:r w:rsidR="00C25A6D" w:rsidRPr="009371D6">
        <w:rPr>
          <w:szCs w:val="20"/>
        </w:rPr>
        <w:t xml:space="preserve"> </w:t>
      </w:r>
      <w:r w:rsidR="006E4CC4" w:rsidRPr="009371D6">
        <w:rPr>
          <w:szCs w:val="20"/>
        </w:rPr>
        <w:t xml:space="preserve">Anaerobic Digestion Advisor (ADAdvisor) tool has been developed for businesses to assess the economic feasibility of anaerobic digestion using waste from red meat processing and the intensive livestock industries. Anaerobic digestions </w:t>
      </w:r>
      <w:r w:rsidR="00323149" w:rsidRPr="009371D6">
        <w:rPr>
          <w:szCs w:val="20"/>
        </w:rPr>
        <w:t>enable</w:t>
      </w:r>
      <w:r w:rsidR="006E4CC4" w:rsidRPr="009371D6">
        <w:rPr>
          <w:szCs w:val="20"/>
        </w:rPr>
        <w:t xml:space="preserve"> </w:t>
      </w:r>
      <w:r w:rsidR="00574361" w:rsidRPr="009371D6">
        <w:rPr>
          <w:szCs w:val="20"/>
        </w:rPr>
        <w:t xml:space="preserve">processors </w:t>
      </w:r>
      <w:r w:rsidR="006E4CC4" w:rsidRPr="009371D6">
        <w:rPr>
          <w:szCs w:val="20"/>
        </w:rPr>
        <w:t xml:space="preserve">to manage waste </w:t>
      </w:r>
      <w:r w:rsidR="00574361" w:rsidRPr="009371D6">
        <w:rPr>
          <w:szCs w:val="20"/>
        </w:rPr>
        <w:t>effectively</w:t>
      </w:r>
      <w:r w:rsidR="00222FE9" w:rsidRPr="009371D6">
        <w:rPr>
          <w:szCs w:val="20"/>
        </w:rPr>
        <w:t xml:space="preserve">, </w:t>
      </w:r>
      <w:r w:rsidR="006E4CC4" w:rsidRPr="009371D6">
        <w:rPr>
          <w:szCs w:val="20"/>
        </w:rPr>
        <w:t>reduc</w:t>
      </w:r>
      <w:r w:rsidR="00222FE9" w:rsidRPr="009371D6">
        <w:rPr>
          <w:szCs w:val="20"/>
        </w:rPr>
        <w:t>e</w:t>
      </w:r>
      <w:r w:rsidR="006E4CC4" w:rsidRPr="009371D6">
        <w:rPr>
          <w:szCs w:val="20"/>
        </w:rPr>
        <w:t xml:space="preserve"> greenhouse gas emissions, and </w:t>
      </w:r>
      <w:r w:rsidR="00DF5021" w:rsidRPr="009371D6">
        <w:rPr>
          <w:szCs w:val="20"/>
        </w:rPr>
        <w:t>prevent potentially</w:t>
      </w:r>
      <w:r w:rsidR="006E4CC4" w:rsidRPr="009371D6">
        <w:rPr>
          <w:szCs w:val="20"/>
        </w:rPr>
        <w:t xml:space="preserve"> </w:t>
      </w:r>
      <w:r w:rsidR="00DF5021" w:rsidRPr="009371D6">
        <w:rPr>
          <w:szCs w:val="20"/>
        </w:rPr>
        <w:t xml:space="preserve">valuable </w:t>
      </w:r>
      <w:r w:rsidR="00B7562C" w:rsidRPr="009371D6">
        <w:rPr>
          <w:szCs w:val="20"/>
        </w:rPr>
        <w:t xml:space="preserve">renewable </w:t>
      </w:r>
      <w:r w:rsidR="00800186" w:rsidRPr="009371D6">
        <w:rPr>
          <w:szCs w:val="20"/>
        </w:rPr>
        <w:t>bio-</w:t>
      </w:r>
      <w:r w:rsidR="00B7562C" w:rsidRPr="009371D6">
        <w:rPr>
          <w:szCs w:val="20"/>
        </w:rPr>
        <w:t xml:space="preserve">energy sources from being discarded in </w:t>
      </w:r>
      <w:r w:rsidR="006E4CC4" w:rsidRPr="009371D6">
        <w:rPr>
          <w:szCs w:val="20"/>
        </w:rPr>
        <w:t xml:space="preserve">landfill </w:t>
      </w:r>
      <w:r w:rsidR="00BD2DD0" w:rsidRPr="009371D6">
        <w:rPr>
          <w:szCs w:val="20"/>
        </w:rPr>
        <w:t>or</w:t>
      </w:r>
      <w:r w:rsidR="00B7562C" w:rsidRPr="009371D6">
        <w:rPr>
          <w:szCs w:val="20"/>
        </w:rPr>
        <w:t xml:space="preserve"> channelled </w:t>
      </w:r>
      <w:r w:rsidR="006E4CC4" w:rsidRPr="009371D6">
        <w:rPr>
          <w:szCs w:val="20"/>
        </w:rPr>
        <w:t>to sewer</w:t>
      </w:r>
      <w:r w:rsidR="00BD2DD0" w:rsidRPr="009371D6">
        <w:rPr>
          <w:szCs w:val="20"/>
        </w:rPr>
        <w:t>s</w:t>
      </w:r>
      <w:r w:rsidR="00BD2DD0" w:rsidRPr="009371D6">
        <w:rPr>
          <w:rStyle w:val="FootnoteReference"/>
          <w:sz w:val="20"/>
          <w:szCs w:val="20"/>
        </w:rPr>
        <w:footnoteReference w:id="24"/>
      </w:r>
      <w:r w:rsidR="006E4CC4" w:rsidRPr="009371D6">
        <w:rPr>
          <w:szCs w:val="20"/>
        </w:rPr>
        <w:t>.</w:t>
      </w:r>
    </w:p>
    <w:p w14:paraId="6F7375F0" w14:textId="178D4BEB" w:rsidR="006A3B16" w:rsidRPr="009371D6" w:rsidRDefault="006A3B16" w:rsidP="00E539D1">
      <w:pPr>
        <w:rPr>
          <w:szCs w:val="20"/>
        </w:rPr>
      </w:pPr>
    </w:p>
    <w:p w14:paraId="22A63E3B" w14:textId="610DF315" w:rsidR="006A3B16" w:rsidRDefault="00F83C76" w:rsidP="00E539D1">
      <w:pPr>
        <w:rPr>
          <w:szCs w:val="20"/>
        </w:rPr>
      </w:pPr>
      <w:r w:rsidRPr="009371D6">
        <w:rPr>
          <w:szCs w:val="20"/>
        </w:rPr>
        <w:t xml:space="preserve">In 2022, </w:t>
      </w:r>
      <w:r w:rsidR="006A3B16" w:rsidRPr="009371D6">
        <w:rPr>
          <w:szCs w:val="20"/>
        </w:rPr>
        <w:t xml:space="preserve">AMPC also delivered the first containerised microfiltration, ultrafiltration, reverse osmosis water recycling unit to a meat processing plant </w:t>
      </w:r>
      <w:r w:rsidR="00A34E7F" w:rsidRPr="009371D6">
        <w:rPr>
          <w:szCs w:val="20"/>
        </w:rPr>
        <w:t xml:space="preserve">in Queensland </w:t>
      </w:r>
      <w:r w:rsidR="006A3B16" w:rsidRPr="009371D6">
        <w:rPr>
          <w:szCs w:val="20"/>
        </w:rPr>
        <w:t>as part of a pilot project to recycle water for non-</w:t>
      </w:r>
      <w:r w:rsidR="006A3B16" w:rsidRPr="009371D6">
        <w:rPr>
          <w:szCs w:val="20"/>
        </w:rPr>
        <w:lastRenderedPageBreak/>
        <w:t xml:space="preserve">potable uses. The project aims to help </w:t>
      </w:r>
      <w:r w:rsidR="006E730B" w:rsidRPr="009371D6">
        <w:rPr>
          <w:szCs w:val="20"/>
        </w:rPr>
        <w:t xml:space="preserve">businesses develop </w:t>
      </w:r>
      <w:r w:rsidR="006A3B16" w:rsidRPr="009371D6">
        <w:rPr>
          <w:szCs w:val="20"/>
        </w:rPr>
        <w:t>capabilit</w:t>
      </w:r>
      <w:r w:rsidR="003B4FF7" w:rsidRPr="009371D6">
        <w:rPr>
          <w:szCs w:val="20"/>
        </w:rPr>
        <w:t>ies</w:t>
      </w:r>
      <w:r w:rsidR="006A3B16" w:rsidRPr="009371D6">
        <w:rPr>
          <w:szCs w:val="20"/>
        </w:rPr>
        <w:t xml:space="preserve"> </w:t>
      </w:r>
      <w:r w:rsidR="006E730B" w:rsidRPr="009371D6">
        <w:rPr>
          <w:szCs w:val="20"/>
        </w:rPr>
        <w:t xml:space="preserve">for </w:t>
      </w:r>
      <w:r w:rsidR="00A51D79" w:rsidRPr="009371D6">
        <w:rPr>
          <w:szCs w:val="20"/>
        </w:rPr>
        <w:t xml:space="preserve">reducing their water needs and </w:t>
      </w:r>
      <w:r w:rsidR="00532F92" w:rsidRPr="009371D6">
        <w:rPr>
          <w:szCs w:val="20"/>
        </w:rPr>
        <w:t xml:space="preserve">to </w:t>
      </w:r>
      <w:r w:rsidR="006A3B16" w:rsidRPr="009371D6">
        <w:rPr>
          <w:szCs w:val="20"/>
        </w:rPr>
        <w:t>creat</w:t>
      </w:r>
      <w:r w:rsidR="00532F92" w:rsidRPr="009371D6">
        <w:rPr>
          <w:szCs w:val="20"/>
        </w:rPr>
        <w:t>e</w:t>
      </w:r>
      <w:r w:rsidR="006A3B16" w:rsidRPr="009371D6">
        <w:rPr>
          <w:szCs w:val="20"/>
        </w:rPr>
        <w:t xml:space="preserve"> low-cost Class A recycled water for re-use in plant </w:t>
      </w:r>
      <w:r w:rsidR="006E730B" w:rsidRPr="009371D6">
        <w:rPr>
          <w:szCs w:val="20"/>
        </w:rPr>
        <w:t xml:space="preserve">cooling and </w:t>
      </w:r>
      <w:r w:rsidR="006A3B16" w:rsidRPr="009371D6">
        <w:rPr>
          <w:szCs w:val="20"/>
        </w:rPr>
        <w:t>heating systems</w:t>
      </w:r>
      <w:r w:rsidR="00C24FB3" w:rsidRPr="009371D6">
        <w:rPr>
          <w:rStyle w:val="FootnoteReference"/>
          <w:sz w:val="20"/>
          <w:szCs w:val="20"/>
        </w:rPr>
        <w:footnoteReference w:id="25"/>
      </w:r>
      <w:r w:rsidR="006A3B16" w:rsidRPr="009371D6">
        <w:rPr>
          <w:szCs w:val="20"/>
        </w:rPr>
        <w:t>.</w:t>
      </w:r>
      <w:r w:rsidR="005473D9" w:rsidRPr="009371D6">
        <w:rPr>
          <w:szCs w:val="20"/>
        </w:rPr>
        <w:t xml:space="preserve"> A second water recycling unit </w:t>
      </w:r>
      <w:r w:rsidR="005C5B13" w:rsidRPr="009371D6">
        <w:rPr>
          <w:szCs w:val="20"/>
        </w:rPr>
        <w:t xml:space="preserve">has now been delivered </w:t>
      </w:r>
      <w:r w:rsidR="005473D9" w:rsidRPr="009371D6">
        <w:rPr>
          <w:szCs w:val="20"/>
        </w:rPr>
        <w:t>to a meat processing plant in Western Australia</w:t>
      </w:r>
      <w:r w:rsidR="005C5B13" w:rsidRPr="009371D6">
        <w:rPr>
          <w:rStyle w:val="FootnoteReference"/>
          <w:sz w:val="20"/>
          <w:szCs w:val="20"/>
        </w:rPr>
        <w:footnoteReference w:id="26"/>
      </w:r>
      <w:r w:rsidR="005C5B13" w:rsidRPr="009371D6">
        <w:rPr>
          <w:szCs w:val="20"/>
        </w:rPr>
        <w:t>.</w:t>
      </w:r>
    </w:p>
    <w:p w14:paraId="6F33493D" w14:textId="77777777" w:rsidR="00C6344A" w:rsidRDefault="00C6344A" w:rsidP="00E539D1"/>
    <w:p w14:paraId="32D670A8" w14:textId="49D4F10A" w:rsidR="00BF2235" w:rsidRDefault="00BF2235" w:rsidP="00BF2235">
      <w:pPr>
        <w:pStyle w:val="Heading3"/>
      </w:pPr>
      <w:bookmarkStart w:id="30" w:name="_Toc115363698"/>
      <w:bookmarkStart w:id="31" w:name="Digital"/>
      <w:r w:rsidRPr="002B38F5">
        <w:t>Digital &amp; Automation Practices</w:t>
      </w:r>
      <w:bookmarkEnd w:id="30"/>
    </w:p>
    <w:p w14:paraId="7633C0CF" w14:textId="3351F195" w:rsidR="00DD6CFA" w:rsidRPr="009371D6" w:rsidRDefault="001A4DEF" w:rsidP="00704B38">
      <w:pPr>
        <w:rPr>
          <w:szCs w:val="20"/>
        </w:rPr>
      </w:pPr>
      <w:r w:rsidRPr="009371D6">
        <w:rPr>
          <w:szCs w:val="20"/>
        </w:rPr>
        <w:t>Most m</w:t>
      </w:r>
      <w:r w:rsidR="00FF2A93" w:rsidRPr="009371D6">
        <w:rPr>
          <w:szCs w:val="20"/>
        </w:rPr>
        <w:t xml:space="preserve">eat processing operations </w:t>
      </w:r>
      <w:r w:rsidR="00BA1693" w:rsidRPr="009371D6">
        <w:rPr>
          <w:szCs w:val="20"/>
        </w:rPr>
        <w:t xml:space="preserve">require </w:t>
      </w:r>
      <w:r w:rsidR="00FF2A93" w:rsidRPr="009371D6">
        <w:rPr>
          <w:szCs w:val="20"/>
        </w:rPr>
        <w:t>significant labour input for processing</w:t>
      </w:r>
      <w:r w:rsidR="00FD5CAA" w:rsidRPr="009371D6">
        <w:rPr>
          <w:szCs w:val="20"/>
        </w:rPr>
        <w:t xml:space="preserve"> tasks</w:t>
      </w:r>
      <w:r w:rsidR="00FF2A93" w:rsidRPr="009371D6">
        <w:rPr>
          <w:szCs w:val="20"/>
        </w:rPr>
        <w:t xml:space="preserve">, such as boning and butchering. </w:t>
      </w:r>
      <w:r w:rsidR="00FF136E" w:rsidRPr="009371D6">
        <w:rPr>
          <w:szCs w:val="20"/>
        </w:rPr>
        <w:t>D</w:t>
      </w:r>
      <w:r w:rsidR="00F744DE" w:rsidRPr="009371D6">
        <w:rPr>
          <w:szCs w:val="20"/>
        </w:rPr>
        <w:t>igital technologies are increasingly being used by market leaders</w:t>
      </w:r>
      <w:r w:rsidR="00FF136E" w:rsidRPr="009371D6">
        <w:rPr>
          <w:szCs w:val="20"/>
        </w:rPr>
        <w:t xml:space="preserve"> and</w:t>
      </w:r>
      <w:r w:rsidR="00F744DE" w:rsidRPr="009371D6">
        <w:rPr>
          <w:szCs w:val="20"/>
        </w:rPr>
        <w:t>, whi</w:t>
      </w:r>
      <w:r w:rsidR="00FF136E" w:rsidRPr="009371D6">
        <w:rPr>
          <w:szCs w:val="20"/>
        </w:rPr>
        <w:t xml:space="preserve">le </w:t>
      </w:r>
      <w:r w:rsidR="0010279E" w:rsidRPr="009371D6">
        <w:rPr>
          <w:szCs w:val="20"/>
        </w:rPr>
        <w:t xml:space="preserve">small and medium businesses may not have the capital to invest in these </w:t>
      </w:r>
      <w:r w:rsidR="00C10E90" w:rsidRPr="009371D6">
        <w:rPr>
          <w:szCs w:val="20"/>
        </w:rPr>
        <w:t xml:space="preserve">advancements currently, there is likely to be a steady shift to </w:t>
      </w:r>
      <w:r w:rsidR="000C420E" w:rsidRPr="009371D6">
        <w:rPr>
          <w:szCs w:val="20"/>
        </w:rPr>
        <w:t xml:space="preserve">their use becoming widespread. </w:t>
      </w:r>
    </w:p>
    <w:p w14:paraId="69ADB81E" w14:textId="487D52AE" w:rsidR="00997513" w:rsidRPr="009371D6" w:rsidRDefault="00997513" w:rsidP="00704B38">
      <w:pPr>
        <w:rPr>
          <w:szCs w:val="20"/>
        </w:rPr>
      </w:pPr>
    </w:p>
    <w:p w14:paraId="0101519F" w14:textId="69BE7FE4" w:rsidR="00E20E54" w:rsidRPr="009371D6" w:rsidRDefault="00997513" w:rsidP="008465DA">
      <w:pPr>
        <w:rPr>
          <w:szCs w:val="20"/>
        </w:rPr>
      </w:pPr>
      <w:r w:rsidRPr="009371D6">
        <w:rPr>
          <w:szCs w:val="20"/>
        </w:rPr>
        <w:t xml:space="preserve">Presently, </w:t>
      </w:r>
      <w:r w:rsidR="007A3AF7" w:rsidRPr="009371D6">
        <w:rPr>
          <w:szCs w:val="20"/>
        </w:rPr>
        <w:t xml:space="preserve">digital and automation practices are becoming </w:t>
      </w:r>
      <w:r w:rsidR="00E20E54" w:rsidRPr="009371D6">
        <w:rPr>
          <w:szCs w:val="20"/>
        </w:rPr>
        <w:t>commonplace across the</w:t>
      </w:r>
      <w:r w:rsidR="009C3EAC">
        <w:rPr>
          <w:szCs w:val="20"/>
        </w:rPr>
        <w:t>se</w:t>
      </w:r>
      <w:r w:rsidR="00E20E54" w:rsidRPr="009371D6">
        <w:rPr>
          <w:szCs w:val="20"/>
        </w:rPr>
        <w:t xml:space="preserve"> sectors: </w:t>
      </w:r>
    </w:p>
    <w:p w14:paraId="775D2613" w14:textId="63FEDC12" w:rsidR="00E20E54" w:rsidRPr="009371D6" w:rsidRDefault="00E20E54" w:rsidP="00E20E54">
      <w:pPr>
        <w:pStyle w:val="ListBullet"/>
        <w:rPr>
          <w:szCs w:val="20"/>
        </w:rPr>
      </w:pPr>
      <w:r w:rsidRPr="009371D6">
        <w:rPr>
          <w:szCs w:val="20"/>
        </w:rPr>
        <w:t>T</w:t>
      </w:r>
      <w:r w:rsidR="00997513" w:rsidRPr="009371D6">
        <w:rPr>
          <w:szCs w:val="20"/>
        </w:rPr>
        <w:t xml:space="preserve">he rendering sector, </w:t>
      </w:r>
      <w:r w:rsidR="00BA44D8" w:rsidRPr="009371D6">
        <w:rPr>
          <w:szCs w:val="20"/>
        </w:rPr>
        <w:t xml:space="preserve">including </w:t>
      </w:r>
      <w:r w:rsidR="00997513" w:rsidRPr="009371D6">
        <w:rPr>
          <w:szCs w:val="20"/>
        </w:rPr>
        <w:t>independent render</w:t>
      </w:r>
      <w:r w:rsidR="00BA44D8" w:rsidRPr="009371D6">
        <w:rPr>
          <w:szCs w:val="20"/>
        </w:rPr>
        <w:t xml:space="preserve">ing businesses </w:t>
      </w:r>
      <w:r w:rsidR="00A06656" w:rsidRPr="009371D6">
        <w:rPr>
          <w:szCs w:val="20"/>
        </w:rPr>
        <w:t xml:space="preserve">and those </w:t>
      </w:r>
      <w:r w:rsidR="00997513" w:rsidRPr="009371D6">
        <w:rPr>
          <w:szCs w:val="20"/>
        </w:rPr>
        <w:t>part of a</w:t>
      </w:r>
      <w:r w:rsidR="00BA44D8" w:rsidRPr="009371D6">
        <w:rPr>
          <w:szCs w:val="20"/>
        </w:rPr>
        <w:t>n integrated</w:t>
      </w:r>
      <w:r w:rsidR="00997513" w:rsidRPr="009371D6">
        <w:rPr>
          <w:szCs w:val="20"/>
        </w:rPr>
        <w:t xml:space="preserve"> meat processing plant, employ sophisticated technologies and techniques to convert animal by</w:t>
      </w:r>
      <w:r w:rsidR="009C3EAC">
        <w:rPr>
          <w:szCs w:val="20"/>
        </w:rPr>
        <w:t>-</w:t>
      </w:r>
      <w:r w:rsidR="00997513" w:rsidRPr="009371D6">
        <w:rPr>
          <w:szCs w:val="20"/>
        </w:rPr>
        <w:t xml:space="preserve">products into a range of different </w:t>
      </w:r>
      <w:r w:rsidR="005B21D5" w:rsidRPr="009371D6">
        <w:rPr>
          <w:szCs w:val="20"/>
        </w:rPr>
        <w:t>food</w:t>
      </w:r>
      <w:r w:rsidR="00997513" w:rsidRPr="009371D6">
        <w:rPr>
          <w:szCs w:val="20"/>
        </w:rPr>
        <w:t xml:space="preserve"> and </w:t>
      </w:r>
      <w:r w:rsidR="00A06656" w:rsidRPr="009371D6">
        <w:rPr>
          <w:szCs w:val="20"/>
        </w:rPr>
        <w:t>non-</w:t>
      </w:r>
      <w:r w:rsidR="005B21D5" w:rsidRPr="009371D6">
        <w:rPr>
          <w:szCs w:val="20"/>
        </w:rPr>
        <w:t xml:space="preserve">food </w:t>
      </w:r>
      <w:r w:rsidR="00997513" w:rsidRPr="009371D6">
        <w:rPr>
          <w:szCs w:val="20"/>
        </w:rPr>
        <w:t xml:space="preserve">products. </w:t>
      </w:r>
    </w:p>
    <w:p w14:paraId="2070519C" w14:textId="77777777" w:rsidR="00E20E54" w:rsidRPr="009371D6" w:rsidRDefault="00997513" w:rsidP="00E20E54">
      <w:pPr>
        <w:pStyle w:val="ListBullet"/>
        <w:rPr>
          <w:szCs w:val="20"/>
        </w:rPr>
      </w:pPr>
      <w:r w:rsidRPr="009371D6">
        <w:rPr>
          <w:szCs w:val="20"/>
        </w:rPr>
        <w:t xml:space="preserve">The </w:t>
      </w:r>
      <w:r w:rsidR="00971C22" w:rsidRPr="009371D6">
        <w:rPr>
          <w:szCs w:val="20"/>
        </w:rPr>
        <w:t xml:space="preserve">cured meat and smallgoods sector is </w:t>
      </w:r>
      <w:r w:rsidR="00DB232E" w:rsidRPr="009371D6">
        <w:rPr>
          <w:szCs w:val="20"/>
        </w:rPr>
        <w:t xml:space="preserve">utilising smart devices to improve operators' ability to track utility usage, optimise cold storage temperatures and reduce utility costs. </w:t>
      </w:r>
    </w:p>
    <w:p w14:paraId="0AD9B9C0" w14:textId="4B8AA1DC" w:rsidR="00997513" w:rsidRPr="009371D6" w:rsidRDefault="00DB232E" w:rsidP="00E20E54">
      <w:pPr>
        <w:pStyle w:val="ListBullet2"/>
        <w:rPr>
          <w:szCs w:val="20"/>
        </w:rPr>
      </w:pPr>
      <w:r w:rsidRPr="009371D6">
        <w:rPr>
          <w:szCs w:val="20"/>
        </w:rPr>
        <w:t xml:space="preserve">The </w:t>
      </w:r>
      <w:r w:rsidR="00997513" w:rsidRPr="009371D6">
        <w:rPr>
          <w:szCs w:val="20"/>
        </w:rPr>
        <w:t>retail sector is employing more use of technology, particularly for slicing product</w:t>
      </w:r>
      <w:r w:rsidRPr="009371D6">
        <w:rPr>
          <w:szCs w:val="20"/>
        </w:rPr>
        <w:t>s</w:t>
      </w:r>
      <w:r w:rsidR="00997513" w:rsidRPr="009371D6">
        <w:rPr>
          <w:szCs w:val="20"/>
        </w:rPr>
        <w:t xml:space="preserve">. </w:t>
      </w:r>
    </w:p>
    <w:p w14:paraId="667D3EF8" w14:textId="7486B615" w:rsidR="007A3AF7" w:rsidRPr="009371D6" w:rsidRDefault="007A3AF7" w:rsidP="007A3AF7">
      <w:pPr>
        <w:rPr>
          <w:szCs w:val="20"/>
        </w:rPr>
      </w:pPr>
      <w:r w:rsidRPr="009371D6">
        <w:rPr>
          <w:szCs w:val="20"/>
        </w:rPr>
        <w:t>Australian Government funding</w:t>
      </w:r>
      <w:r w:rsidR="00E20E54" w:rsidRPr="009371D6">
        <w:rPr>
          <w:szCs w:val="20"/>
        </w:rPr>
        <w:t xml:space="preserve"> is supporting industry modernisation</w:t>
      </w:r>
      <w:r w:rsidRPr="009371D6">
        <w:rPr>
          <w:szCs w:val="20"/>
        </w:rPr>
        <w:t>, including through the Building a More Competitive Meat Industry measure</w:t>
      </w:r>
      <w:r w:rsidR="002A7258" w:rsidRPr="009371D6">
        <w:rPr>
          <w:rStyle w:val="FootnoteReference"/>
          <w:sz w:val="20"/>
          <w:szCs w:val="20"/>
        </w:rPr>
        <w:footnoteReference w:id="27"/>
      </w:r>
      <w:r w:rsidR="00136A58">
        <w:rPr>
          <w:szCs w:val="20"/>
        </w:rPr>
        <w:t xml:space="preserve"> as part of the Busting Congestion for Agricultural Exporters</w:t>
      </w:r>
      <w:r w:rsidR="00AA2366">
        <w:rPr>
          <w:szCs w:val="20"/>
        </w:rPr>
        <w:t xml:space="preserve"> package of reforms</w:t>
      </w:r>
      <w:r w:rsidRPr="009371D6">
        <w:rPr>
          <w:szCs w:val="20"/>
        </w:rPr>
        <w:t>. A digital modernisation roadmap has been commissioned to inform industry on investing in technology and identifying opportunities to improve regulatory activities; for example, integrating smart technologies into export verification activities and modernising administrative procedures</w:t>
      </w:r>
      <w:r w:rsidRPr="009371D6">
        <w:rPr>
          <w:rStyle w:val="FootnoteReference"/>
          <w:sz w:val="20"/>
          <w:szCs w:val="20"/>
        </w:rPr>
        <w:footnoteReference w:id="28"/>
      </w:r>
      <w:r w:rsidRPr="009371D6">
        <w:rPr>
          <w:szCs w:val="20"/>
        </w:rPr>
        <w:t>.</w:t>
      </w:r>
    </w:p>
    <w:p w14:paraId="53D34CBF" w14:textId="0913C31D" w:rsidR="00D67857" w:rsidRPr="009371D6" w:rsidRDefault="00D67857" w:rsidP="00704B38">
      <w:pPr>
        <w:rPr>
          <w:szCs w:val="20"/>
        </w:rPr>
      </w:pPr>
    </w:p>
    <w:p w14:paraId="44DDF86C" w14:textId="77777777" w:rsidR="008C2D99" w:rsidRPr="009371D6" w:rsidRDefault="00CC6647" w:rsidP="00704B38">
      <w:pPr>
        <w:rPr>
          <w:szCs w:val="20"/>
        </w:rPr>
      </w:pPr>
      <w:r w:rsidRPr="009371D6">
        <w:rPr>
          <w:szCs w:val="20"/>
        </w:rPr>
        <w:t>The Meat Industry Strategic Plan</w:t>
      </w:r>
      <w:r w:rsidR="00A25CDB" w:rsidRPr="009371D6">
        <w:rPr>
          <w:rStyle w:val="FootnoteReference"/>
          <w:sz w:val="20"/>
          <w:szCs w:val="20"/>
        </w:rPr>
        <w:footnoteReference w:id="29"/>
      </w:r>
      <w:r w:rsidRPr="009371D6">
        <w:rPr>
          <w:szCs w:val="20"/>
        </w:rPr>
        <w:t xml:space="preserve"> states that a key to the industry’s success will be the ability to optimise systems, technologies and practices.</w:t>
      </w:r>
      <w:r w:rsidR="001E015A" w:rsidRPr="009371D6">
        <w:rPr>
          <w:szCs w:val="20"/>
        </w:rPr>
        <w:t xml:space="preserve"> </w:t>
      </w:r>
      <w:r w:rsidR="006E5D34" w:rsidRPr="009371D6">
        <w:rPr>
          <w:szCs w:val="20"/>
        </w:rPr>
        <w:t xml:space="preserve">This includes </w:t>
      </w:r>
      <w:r w:rsidR="002219E1" w:rsidRPr="009371D6">
        <w:rPr>
          <w:szCs w:val="20"/>
        </w:rPr>
        <w:t xml:space="preserve">utilising the latest technologies in information management, communication and market analysis </w:t>
      </w:r>
      <w:r w:rsidR="00A85055" w:rsidRPr="009371D6">
        <w:rPr>
          <w:szCs w:val="20"/>
        </w:rPr>
        <w:t xml:space="preserve">to </w:t>
      </w:r>
      <w:r w:rsidR="006E5D34" w:rsidRPr="009371D6">
        <w:rPr>
          <w:szCs w:val="20"/>
        </w:rPr>
        <w:t>mak</w:t>
      </w:r>
      <w:r w:rsidR="00A85055" w:rsidRPr="009371D6">
        <w:rPr>
          <w:szCs w:val="20"/>
        </w:rPr>
        <w:t>e</w:t>
      </w:r>
      <w:r w:rsidR="006E5D34" w:rsidRPr="009371D6">
        <w:rPr>
          <w:szCs w:val="20"/>
        </w:rPr>
        <w:t xml:space="preserve"> evidence-based decisions to drive p</w:t>
      </w:r>
      <w:r w:rsidR="000632EE" w:rsidRPr="009371D6">
        <w:rPr>
          <w:szCs w:val="20"/>
        </w:rPr>
        <w:t xml:space="preserve">roduction and investment </w:t>
      </w:r>
      <w:r w:rsidR="006E5D34" w:rsidRPr="009371D6">
        <w:rPr>
          <w:szCs w:val="20"/>
        </w:rPr>
        <w:t>decisions</w:t>
      </w:r>
      <w:r w:rsidR="00A85055" w:rsidRPr="009371D6">
        <w:rPr>
          <w:szCs w:val="20"/>
        </w:rPr>
        <w:t xml:space="preserve"> that align with consumer </w:t>
      </w:r>
      <w:r w:rsidR="001707BA" w:rsidRPr="009371D6">
        <w:rPr>
          <w:szCs w:val="20"/>
        </w:rPr>
        <w:t>preferences</w:t>
      </w:r>
      <w:r w:rsidRPr="009371D6">
        <w:rPr>
          <w:szCs w:val="20"/>
        </w:rPr>
        <w:t>.</w:t>
      </w:r>
      <w:r w:rsidR="00032742" w:rsidRPr="009371D6">
        <w:rPr>
          <w:szCs w:val="20"/>
        </w:rPr>
        <w:t xml:space="preserve"> </w:t>
      </w:r>
    </w:p>
    <w:p w14:paraId="3DBC2E4D" w14:textId="77777777" w:rsidR="008C2D99" w:rsidRPr="009371D6" w:rsidRDefault="008C2D99" w:rsidP="00704B38">
      <w:pPr>
        <w:rPr>
          <w:szCs w:val="20"/>
        </w:rPr>
      </w:pPr>
    </w:p>
    <w:p w14:paraId="0DFDC783" w14:textId="69AEEFAB" w:rsidR="0093331A" w:rsidRPr="009371D6" w:rsidRDefault="00032742" w:rsidP="00704B38">
      <w:pPr>
        <w:rPr>
          <w:szCs w:val="20"/>
        </w:rPr>
      </w:pPr>
      <w:r w:rsidRPr="009371D6">
        <w:rPr>
          <w:szCs w:val="20"/>
        </w:rPr>
        <w:t>Through its primary research development corporations</w:t>
      </w:r>
      <w:r w:rsidR="005F612F">
        <w:rPr>
          <w:szCs w:val="20"/>
        </w:rPr>
        <w:t xml:space="preserve">, </w:t>
      </w:r>
      <w:r w:rsidRPr="009371D6">
        <w:rPr>
          <w:szCs w:val="20"/>
        </w:rPr>
        <w:t>the Australian Meat Processor Corporation (AMPC) and Meat and Livestock Australia (MLA), the industry continues to invest in the development of new technologies.</w:t>
      </w:r>
      <w:r w:rsidR="00A716AB" w:rsidRPr="009371D6">
        <w:rPr>
          <w:szCs w:val="20"/>
        </w:rPr>
        <w:t xml:space="preserve"> </w:t>
      </w:r>
    </w:p>
    <w:p w14:paraId="11F1F0DD" w14:textId="77777777" w:rsidR="0093331A" w:rsidRPr="009371D6" w:rsidRDefault="0093331A" w:rsidP="00704B38">
      <w:pPr>
        <w:rPr>
          <w:szCs w:val="20"/>
        </w:rPr>
      </w:pPr>
    </w:p>
    <w:p w14:paraId="27A6A1E9" w14:textId="2850871A" w:rsidR="00B86927" w:rsidRPr="009371D6" w:rsidRDefault="00032742" w:rsidP="00704B38">
      <w:pPr>
        <w:rPr>
          <w:szCs w:val="20"/>
        </w:rPr>
      </w:pPr>
      <w:r w:rsidRPr="009371D6">
        <w:rPr>
          <w:szCs w:val="20"/>
        </w:rPr>
        <w:t>AMPC</w:t>
      </w:r>
      <w:r w:rsidR="00965E4E" w:rsidRPr="009371D6">
        <w:rPr>
          <w:szCs w:val="20"/>
        </w:rPr>
        <w:t xml:space="preserve"> </w:t>
      </w:r>
      <w:r w:rsidR="00B77EF1" w:rsidRPr="009371D6">
        <w:rPr>
          <w:szCs w:val="20"/>
        </w:rPr>
        <w:t>note</w:t>
      </w:r>
      <w:r w:rsidR="00965E4E" w:rsidRPr="009371D6">
        <w:rPr>
          <w:szCs w:val="20"/>
        </w:rPr>
        <w:t xml:space="preserve"> that</w:t>
      </w:r>
      <w:r w:rsidRPr="009371D6">
        <w:rPr>
          <w:szCs w:val="20"/>
        </w:rPr>
        <w:t xml:space="preserve"> </w:t>
      </w:r>
      <w:r w:rsidR="00965E4E" w:rsidRPr="009371D6">
        <w:rPr>
          <w:szCs w:val="20"/>
        </w:rPr>
        <w:t xml:space="preserve">there is great potential for </w:t>
      </w:r>
      <w:r w:rsidR="00C47ED7" w:rsidRPr="009371D6">
        <w:rPr>
          <w:szCs w:val="20"/>
        </w:rPr>
        <w:t xml:space="preserve">businesses of all sizes to adopt </w:t>
      </w:r>
      <w:r w:rsidR="00965E4E" w:rsidRPr="009371D6">
        <w:rPr>
          <w:szCs w:val="20"/>
        </w:rPr>
        <w:t xml:space="preserve">new advanced manufacturing </w:t>
      </w:r>
      <w:r w:rsidR="009E13B7" w:rsidRPr="009371D6">
        <w:rPr>
          <w:szCs w:val="20"/>
        </w:rPr>
        <w:t xml:space="preserve">technologies </w:t>
      </w:r>
      <w:r w:rsidR="00965E4E" w:rsidRPr="009371D6">
        <w:rPr>
          <w:szCs w:val="20"/>
        </w:rPr>
        <w:t xml:space="preserve">to help improve </w:t>
      </w:r>
      <w:r w:rsidR="008C6F24" w:rsidRPr="009371D6">
        <w:rPr>
          <w:szCs w:val="20"/>
        </w:rPr>
        <w:t xml:space="preserve">the </w:t>
      </w:r>
      <w:r w:rsidR="005E4083" w:rsidRPr="009371D6">
        <w:rPr>
          <w:szCs w:val="20"/>
        </w:rPr>
        <w:t xml:space="preserve">productivity </w:t>
      </w:r>
      <w:r w:rsidR="00965E4E" w:rsidRPr="009371D6">
        <w:rPr>
          <w:szCs w:val="20"/>
        </w:rPr>
        <w:t>of meat process</w:t>
      </w:r>
      <w:r w:rsidR="009E13B7" w:rsidRPr="009371D6">
        <w:rPr>
          <w:szCs w:val="20"/>
        </w:rPr>
        <w:t>ing operations</w:t>
      </w:r>
      <w:r w:rsidR="00B77EF1" w:rsidRPr="009371D6">
        <w:rPr>
          <w:szCs w:val="20"/>
        </w:rPr>
        <w:t xml:space="preserve">. </w:t>
      </w:r>
      <w:r w:rsidR="00B13962" w:rsidRPr="009371D6">
        <w:rPr>
          <w:szCs w:val="20"/>
        </w:rPr>
        <w:t>Their</w:t>
      </w:r>
      <w:r w:rsidR="00DF2B7F" w:rsidRPr="009371D6">
        <w:rPr>
          <w:szCs w:val="20"/>
        </w:rPr>
        <w:t xml:space="preserve"> </w:t>
      </w:r>
      <w:r w:rsidR="00B77EF1" w:rsidRPr="009371D6">
        <w:rPr>
          <w:szCs w:val="20"/>
        </w:rPr>
        <w:t xml:space="preserve">strategic </w:t>
      </w:r>
      <w:r w:rsidR="00DF2B7F" w:rsidRPr="009371D6">
        <w:rPr>
          <w:szCs w:val="20"/>
        </w:rPr>
        <w:t xml:space="preserve">objective </w:t>
      </w:r>
      <w:r w:rsidR="00B13962" w:rsidRPr="009371D6">
        <w:rPr>
          <w:szCs w:val="20"/>
        </w:rPr>
        <w:t xml:space="preserve">is </w:t>
      </w:r>
      <w:r w:rsidR="00DF2B7F" w:rsidRPr="009371D6">
        <w:rPr>
          <w:szCs w:val="20"/>
        </w:rPr>
        <w:t>‘</w:t>
      </w:r>
      <w:r w:rsidR="00B77EF1" w:rsidRPr="009371D6">
        <w:rPr>
          <w:szCs w:val="20"/>
        </w:rPr>
        <w:t>that human product handling is halved through technology advancement to reduce injury rates, maximise yield and processing efficiency by 2030</w:t>
      </w:r>
      <w:r w:rsidR="00DF2B7F" w:rsidRPr="009371D6">
        <w:rPr>
          <w:szCs w:val="20"/>
        </w:rPr>
        <w:t>’</w:t>
      </w:r>
      <w:r w:rsidR="00B13962" w:rsidRPr="009371D6">
        <w:rPr>
          <w:rStyle w:val="FootnoteReference"/>
          <w:sz w:val="20"/>
          <w:szCs w:val="20"/>
        </w:rPr>
        <w:footnoteReference w:id="30"/>
      </w:r>
      <w:r w:rsidR="00B77EF1" w:rsidRPr="009371D6">
        <w:rPr>
          <w:szCs w:val="20"/>
        </w:rPr>
        <w:t>.</w:t>
      </w:r>
      <w:r w:rsidR="00B76B41" w:rsidRPr="009371D6">
        <w:rPr>
          <w:szCs w:val="20"/>
        </w:rPr>
        <w:t xml:space="preserve"> Recently completed projects include </w:t>
      </w:r>
      <w:r w:rsidR="00EE7283" w:rsidRPr="009371D6">
        <w:rPr>
          <w:szCs w:val="20"/>
        </w:rPr>
        <w:t>‘Remote operations – shadow robots’</w:t>
      </w:r>
      <w:r w:rsidR="00EE7283" w:rsidRPr="009371D6">
        <w:rPr>
          <w:rStyle w:val="FootnoteReference"/>
          <w:sz w:val="20"/>
          <w:szCs w:val="20"/>
        </w:rPr>
        <w:footnoteReference w:id="31"/>
      </w:r>
      <w:r w:rsidR="00EE7283" w:rsidRPr="009371D6">
        <w:rPr>
          <w:szCs w:val="20"/>
        </w:rPr>
        <w:t xml:space="preserve">, which </w:t>
      </w:r>
      <w:r w:rsidR="001F4ABF" w:rsidRPr="009371D6">
        <w:rPr>
          <w:szCs w:val="20"/>
        </w:rPr>
        <w:t xml:space="preserve">explored the use of automated and semi-automated </w:t>
      </w:r>
      <w:r w:rsidR="00D979C2" w:rsidRPr="009371D6">
        <w:rPr>
          <w:szCs w:val="20"/>
        </w:rPr>
        <w:t xml:space="preserve">remote-controlled </w:t>
      </w:r>
      <w:r w:rsidR="001F4ABF" w:rsidRPr="009371D6">
        <w:rPr>
          <w:szCs w:val="20"/>
        </w:rPr>
        <w:t xml:space="preserve">robots </w:t>
      </w:r>
      <w:r w:rsidR="00422E5B" w:rsidRPr="009371D6">
        <w:rPr>
          <w:szCs w:val="20"/>
        </w:rPr>
        <w:t>to perform operations</w:t>
      </w:r>
      <w:r w:rsidR="00D979C2" w:rsidRPr="009371D6">
        <w:rPr>
          <w:szCs w:val="20"/>
        </w:rPr>
        <w:t xml:space="preserve"> </w:t>
      </w:r>
      <w:r w:rsidR="00422E5B" w:rsidRPr="009371D6">
        <w:rPr>
          <w:szCs w:val="20"/>
        </w:rPr>
        <w:t>usually carried out by workers on a processing line.</w:t>
      </w:r>
      <w:r w:rsidR="000E74A1" w:rsidRPr="009371D6">
        <w:rPr>
          <w:szCs w:val="20"/>
        </w:rPr>
        <w:t xml:space="preserve"> </w:t>
      </w:r>
      <w:r w:rsidR="00843790" w:rsidRPr="009371D6">
        <w:rPr>
          <w:szCs w:val="20"/>
        </w:rPr>
        <w:t>This</w:t>
      </w:r>
      <w:r w:rsidR="000E74A1" w:rsidRPr="009371D6">
        <w:rPr>
          <w:szCs w:val="20"/>
        </w:rPr>
        <w:t xml:space="preserve"> foreshadow</w:t>
      </w:r>
      <w:r w:rsidR="00843790" w:rsidRPr="009371D6">
        <w:rPr>
          <w:szCs w:val="20"/>
        </w:rPr>
        <w:t>s</w:t>
      </w:r>
      <w:r w:rsidR="000E74A1" w:rsidRPr="009371D6">
        <w:rPr>
          <w:szCs w:val="20"/>
        </w:rPr>
        <w:t xml:space="preserve"> </w:t>
      </w:r>
      <w:r w:rsidR="006B66FC" w:rsidRPr="009371D6">
        <w:rPr>
          <w:szCs w:val="20"/>
        </w:rPr>
        <w:t xml:space="preserve">future </w:t>
      </w:r>
      <w:r w:rsidR="006B66FC" w:rsidRPr="009371D6">
        <w:rPr>
          <w:szCs w:val="20"/>
        </w:rPr>
        <w:lastRenderedPageBreak/>
        <w:t>workplaces, where there is greater worker safety</w:t>
      </w:r>
      <w:r w:rsidR="00BB6DC4" w:rsidRPr="009371D6">
        <w:rPr>
          <w:szCs w:val="20"/>
        </w:rPr>
        <w:t>, operational precision</w:t>
      </w:r>
      <w:r w:rsidR="006B53F8" w:rsidRPr="009371D6">
        <w:rPr>
          <w:szCs w:val="20"/>
        </w:rPr>
        <w:t xml:space="preserve"> (including waste reduction)</w:t>
      </w:r>
      <w:r w:rsidR="00BB6DC4" w:rsidRPr="009371D6">
        <w:rPr>
          <w:szCs w:val="20"/>
        </w:rPr>
        <w:t>, data collection</w:t>
      </w:r>
      <w:r w:rsidR="00EB1087" w:rsidRPr="009371D6">
        <w:rPr>
          <w:szCs w:val="20"/>
        </w:rPr>
        <w:t xml:space="preserve"> and ins</w:t>
      </w:r>
      <w:r w:rsidR="003F4426" w:rsidRPr="009371D6">
        <w:rPr>
          <w:szCs w:val="20"/>
        </w:rPr>
        <w:t>ights</w:t>
      </w:r>
      <w:r w:rsidR="00BB6DC4" w:rsidRPr="009371D6">
        <w:rPr>
          <w:szCs w:val="20"/>
        </w:rPr>
        <w:t xml:space="preserve">, </w:t>
      </w:r>
      <w:r w:rsidR="003F4426" w:rsidRPr="009371D6">
        <w:rPr>
          <w:szCs w:val="20"/>
        </w:rPr>
        <w:t xml:space="preserve">staff retention (due to </w:t>
      </w:r>
      <w:r w:rsidR="00F12A63" w:rsidRPr="009371D6">
        <w:rPr>
          <w:szCs w:val="20"/>
        </w:rPr>
        <w:t xml:space="preserve">improving working conditions and reducing bodily stress), and the attraction of </w:t>
      </w:r>
      <w:r w:rsidR="00CE52B0" w:rsidRPr="009371D6">
        <w:rPr>
          <w:szCs w:val="20"/>
        </w:rPr>
        <w:t>highly skilled</w:t>
      </w:r>
      <w:r w:rsidR="00F12A63" w:rsidRPr="009371D6">
        <w:rPr>
          <w:szCs w:val="20"/>
        </w:rPr>
        <w:t xml:space="preserve"> workers</w:t>
      </w:r>
      <w:r w:rsidR="00EE63FF" w:rsidRPr="009371D6">
        <w:rPr>
          <w:szCs w:val="20"/>
        </w:rPr>
        <w:t>.</w:t>
      </w:r>
      <w:r w:rsidR="0039395B" w:rsidRPr="009371D6">
        <w:rPr>
          <w:szCs w:val="20"/>
        </w:rPr>
        <w:t xml:space="preserve"> </w:t>
      </w:r>
      <w:r w:rsidR="00AA61A3" w:rsidRPr="009371D6">
        <w:rPr>
          <w:szCs w:val="20"/>
        </w:rPr>
        <w:t xml:space="preserve">Through its extension programs, </w:t>
      </w:r>
      <w:r w:rsidRPr="009371D6">
        <w:rPr>
          <w:szCs w:val="20"/>
        </w:rPr>
        <w:t xml:space="preserve">AMPC ensures that its research and development programs </w:t>
      </w:r>
      <w:r w:rsidR="00AA61A3" w:rsidRPr="009371D6">
        <w:rPr>
          <w:szCs w:val="20"/>
        </w:rPr>
        <w:t xml:space="preserve">link directly to </w:t>
      </w:r>
      <w:r w:rsidRPr="009371D6">
        <w:rPr>
          <w:szCs w:val="20"/>
        </w:rPr>
        <w:t>implementation</w:t>
      </w:r>
      <w:r w:rsidR="000A08BF" w:rsidRPr="009371D6">
        <w:rPr>
          <w:szCs w:val="20"/>
        </w:rPr>
        <w:t>.</w:t>
      </w:r>
      <w:r w:rsidRPr="009371D6">
        <w:rPr>
          <w:szCs w:val="20"/>
        </w:rPr>
        <w:t xml:space="preserve"> </w:t>
      </w:r>
      <w:r w:rsidR="000A08BF" w:rsidRPr="009371D6">
        <w:rPr>
          <w:szCs w:val="20"/>
        </w:rPr>
        <w:t>T</w:t>
      </w:r>
      <w:r w:rsidRPr="009371D6">
        <w:rPr>
          <w:szCs w:val="20"/>
        </w:rPr>
        <w:t xml:space="preserve">his includes </w:t>
      </w:r>
      <w:r w:rsidR="0007374D" w:rsidRPr="009371D6">
        <w:rPr>
          <w:szCs w:val="20"/>
        </w:rPr>
        <w:t xml:space="preserve">comparing developments with </w:t>
      </w:r>
      <w:r w:rsidRPr="009371D6">
        <w:rPr>
          <w:szCs w:val="20"/>
        </w:rPr>
        <w:t xml:space="preserve">the </w:t>
      </w:r>
      <w:r w:rsidR="000A08BF" w:rsidRPr="009371D6">
        <w:rPr>
          <w:i/>
          <w:iCs/>
          <w:szCs w:val="20"/>
        </w:rPr>
        <w:t>AMP T</w:t>
      </w:r>
      <w:r w:rsidRPr="009371D6">
        <w:rPr>
          <w:i/>
          <w:iCs/>
          <w:szCs w:val="20"/>
        </w:rPr>
        <w:t xml:space="preserve">raining </w:t>
      </w:r>
      <w:r w:rsidR="000A08BF" w:rsidRPr="009371D6">
        <w:rPr>
          <w:i/>
          <w:iCs/>
          <w:szCs w:val="20"/>
        </w:rPr>
        <w:t>P</w:t>
      </w:r>
      <w:r w:rsidRPr="009371D6">
        <w:rPr>
          <w:i/>
          <w:iCs/>
          <w:szCs w:val="20"/>
        </w:rPr>
        <w:t>ackage</w:t>
      </w:r>
      <w:r w:rsidR="0007374D" w:rsidRPr="009371D6">
        <w:rPr>
          <w:szCs w:val="20"/>
        </w:rPr>
        <w:t xml:space="preserve"> to assess whether </w:t>
      </w:r>
      <w:r w:rsidR="00B86927" w:rsidRPr="009371D6">
        <w:rPr>
          <w:szCs w:val="20"/>
        </w:rPr>
        <w:t>updates are required</w:t>
      </w:r>
      <w:r w:rsidRPr="009371D6">
        <w:rPr>
          <w:szCs w:val="20"/>
        </w:rPr>
        <w:t>.</w:t>
      </w:r>
      <w:r w:rsidR="00843790" w:rsidRPr="009371D6">
        <w:rPr>
          <w:szCs w:val="20"/>
        </w:rPr>
        <w:t xml:space="preserve"> However, it should be noted that AMPC have previously suggested to the IRC that many of the emerging skills and jobs would not be meat</w:t>
      </w:r>
      <w:r w:rsidR="00843790">
        <w:t xml:space="preserve"> </w:t>
      </w:r>
      <w:r w:rsidR="00843790" w:rsidRPr="009371D6">
        <w:rPr>
          <w:szCs w:val="20"/>
        </w:rPr>
        <w:t>processor roles, but roles associated with the care and maintenance of the technology. They have also noted the high cost of current technology in meat processing operations due to the maintenance and repair requirements of equipment</w:t>
      </w:r>
      <w:r w:rsidRPr="009371D6">
        <w:rPr>
          <w:szCs w:val="20"/>
        </w:rPr>
        <w:t xml:space="preserve"> </w:t>
      </w:r>
      <w:r w:rsidR="00843790" w:rsidRPr="009371D6">
        <w:rPr>
          <w:szCs w:val="20"/>
        </w:rPr>
        <w:t xml:space="preserve">given the nature of the operations. </w:t>
      </w:r>
    </w:p>
    <w:p w14:paraId="584023D9" w14:textId="77777777" w:rsidR="00B86927" w:rsidRPr="009371D6" w:rsidRDefault="00B86927" w:rsidP="00704B38">
      <w:pPr>
        <w:rPr>
          <w:szCs w:val="20"/>
        </w:rPr>
      </w:pPr>
    </w:p>
    <w:p w14:paraId="64DA7912" w14:textId="3D0BD664" w:rsidR="00D35FAB" w:rsidRPr="009371D6" w:rsidRDefault="00032742" w:rsidP="00704B38">
      <w:pPr>
        <w:rPr>
          <w:szCs w:val="20"/>
        </w:rPr>
      </w:pPr>
      <w:r w:rsidRPr="009371D6">
        <w:rPr>
          <w:szCs w:val="20"/>
        </w:rPr>
        <w:t xml:space="preserve">Over </w:t>
      </w:r>
      <w:r w:rsidR="009C6111" w:rsidRPr="009371D6">
        <w:rPr>
          <w:szCs w:val="20"/>
        </w:rPr>
        <w:t>recent</w:t>
      </w:r>
      <w:r w:rsidRPr="009371D6">
        <w:rPr>
          <w:szCs w:val="20"/>
        </w:rPr>
        <w:t xml:space="preserve"> years, MLA has worked with industry, research institutes and technology </w:t>
      </w:r>
      <w:r w:rsidR="00BD4AA6" w:rsidRPr="009371D6">
        <w:rPr>
          <w:szCs w:val="20"/>
        </w:rPr>
        <w:t>vendors</w:t>
      </w:r>
      <w:r w:rsidRPr="009371D6">
        <w:rPr>
          <w:szCs w:val="20"/>
        </w:rPr>
        <w:t xml:space="preserve"> to develop </w:t>
      </w:r>
      <w:r w:rsidR="00B1226E" w:rsidRPr="009371D6">
        <w:rPr>
          <w:szCs w:val="20"/>
        </w:rPr>
        <w:t xml:space="preserve">Advanced Livestock Measurement Technologies for </w:t>
      </w:r>
      <w:r w:rsidR="005F612F">
        <w:rPr>
          <w:szCs w:val="20"/>
        </w:rPr>
        <w:t>g</w:t>
      </w:r>
      <w:r w:rsidR="00B1226E" w:rsidRPr="009371D6">
        <w:rPr>
          <w:szCs w:val="20"/>
        </w:rPr>
        <w:t xml:space="preserve">lobally </w:t>
      </w:r>
      <w:r w:rsidR="005F612F">
        <w:rPr>
          <w:szCs w:val="20"/>
        </w:rPr>
        <w:t>c</w:t>
      </w:r>
      <w:r w:rsidR="00B1226E" w:rsidRPr="009371D6">
        <w:rPr>
          <w:szCs w:val="20"/>
        </w:rPr>
        <w:t xml:space="preserve">ompetitive Australian </w:t>
      </w:r>
      <w:r w:rsidR="005F612F">
        <w:rPr>
          <w:szCs w:val="20"/>
        </w:rPr>
        <w:t>m</w:t>
      </w:r>
      <w:r w:rsidR="00B1226E" w:rsidRPr="009371D6">
        <w:rPr>
          <w:szCs w:val="20"/>
        </w:rPr>
        <w:t xml:space="preserve">eat </w:t>
      </w:r>
      <w:r w:rsidR="005F612F">
        <w:rPr>
          <w:szCs w:val="20"/>
        </w:rPr>
        <w:t>v</w:t>
      </w:r>
      <w:r w:rsidR="00B1226E" w:rsidRPr="009371D6">
        <w:rPr>
          <w:szCs w:val="20"/>
        </w:rPr>
        <w:t xml:space="preserve">alue </w:t>
      </w:r>
      <w:r w:rsidR="005F612F">
        <w:rPr>
          <w:szCs w:val="20"/>
        </w:rPr>
        <w:t>c</w:t>
      </w:r>
      <w:r w:rsidR="00B1226E" w:rsidRPr="009371D6">
        <w:rPr>
          <w:szCs w:val="20"/>
        </w:rPr>
        <w:t>hains (ALMTech)</w:t>
      </w:r>
      <w:r w:rsidR="00A3703F" w:rsidRPr="009371D6">
        <w:rPr>
          <w:rStyle w:val="FootnoteReference"/>
          <w:sz w:val="20"/>
          <w:szCs w:val="20"/>
        </w:rPr>
        <w:footnoteReference w:id="32"/>
      </w:r>
      <w:r w:rsidR="00B1226E" w:rsidRPr="009371D6">
        <w:rPr>
          <w:szCs w:val="20"/>
        </w:rPr>
        <w:t>. Th</w:t>
      </w:r>
      <w:r w:rsidR="005F3228" w:rsidRPr="009371D6">
        <w:rPr>
          <w:szCs w:val="20"/>
        </w:rPr>
        <w:t xml:space="preserve">is program </w:t>
      </w:r>
      <w:r w:rsidR="00E0234F" w:rsidRPr="009371D6">
        <w:rPr>
          <w:szCs w:val="20"/>
        </w:rPr>
        <w:t xml:space="preserve">consisted of streams to develop lean meat yield technology, eating quality measurement technology, robotic technology, industry databases, and data decision systems. </w:t>
      </w:r>
      <w:r w:rsidR="000E5945" w:rsidRPr="009371D6">
        <w:rPr>
          <w:szCs w:val="20"/>
        </w:rPr>
        <w:t xml:space="preserve">Developments </w:t>
      </w:r>
      <w:r w:rsidR="00B1226E" w:rsidRPr="009371D6">
        <w:rPr>
          <w:szCs w:val="20"/>
        </w:rPr>
        <w:t>include</w:t>
      </w:r>
      <w:r w:rsidR="005F3228" w:rsidRPr="009371D6">
        <w:rPr>
          <w:szCs w:val="20"/>
        </w:rPr>
        <w:t>d</w:t>
      </w:r>
      <w:r w:rsidR="00B1226E" w:rsidRPr="009371D6">
        <w:rPr>
          <w:szCs w:val="20"/>
        </w:rPr>
        <w:t xml:space="preserve"> </w:t>
      </w:r>
      <w:r w:rsidRPr="009371D6">
        <w:rPr>
          <w:szCs w:val="20"/>
        </w:rPr>
        <w:t>DEXA (Dual energy X-ray absorptiometry), a</w:t>
      </w:r>
      <w:r w:rsidR="00692D36" w:rsidRPr="009371D6">
        <w:rPr>
          <w:szCs w:val="20"/>
        </w:rPr>
        <w:t xml:space="preserve"> </w:t>
      </w:r>
      <w:r w:rsidR="00BD4AA6" w:rsidRPr="009371D6">
        <w:rPr>
          <w:szCs w:val="20"/>
        </w:rPr>
        <w:t xml:space="preserve">digital </w:t>
      </w:r>
      <w:r w:rsidRPr="009371D6">
        <w:rPr>
          <w:szCs w:val="20"/>
        </w:rPr>
        <w:t xml:space="preserve">tool </w:t>
      </w:r>
      <w:r w:rsidR="00BD4AA6" w:rsidRPr="009371D6">
        <w:rPr>
          <w:szCs w:val="20"/>
        </w:rPr>
        <w:t xml:space="preserve">for </w:t>
      </w:r>
      <w:r w:rsidRPr="009371D6">
        <w:rPr>
          <w:szCs w:val="20"/>
        </w:rPr>
        <w:t>measur</w:t>
      </w:r>
      <w:r w:rsidR="00BD4AA6" w:rsidRPr="009371D6">
        <w:rPr>
          <w:szCs w:val="20"/>
        </w:rPr>
        <w:t>ing</w:t>
      </w:r>
      <w:r w:rsidRPr="009371D6">
        <w:rPr>
          <w:szCs w:val="20"/>
        </w:rPr>
        <w:t xml:space="preserve"> meat, fat and bone on a carcase (carcase composition)</w:t>
      </w:r>
      <w:r w:rsidR="00C4707F" w:rsidRPr="009371D6">
        <w:rPr>
          <w:rStyle w:val="FootnoteReference"/>
          <w:sz w:val="20"/>
          <w:szCs w:val="20"/>
        </w:rPr>
        <w:footnoteReference w:id="33"/>
      </w:r>
      <w:r w:rsidRPr="009371D6">
        <w:rPr>
          <w:szCs w:val="20"/>
        </w:rPr>
        <w:t xml:space="preserve">. </w:t>
      </w:r>
      <w:r w:rsidR="000C48A7" w:rsidRPr="009371D6">
        <w:rPr>
          <w:szCs w:val="20"/>
        </w:rPr>
        <w:t>Other technologies developed for abattoirs</w:t>
      </w:r>
      <w:r w:rsidR="00C95C54" w:rsidRPr="009371D6">
        <w:rPr>
          <w:szCs w:val="20"/>
        </w:rPr>
        <w:t xml:space="preserve"> </w:t>
      </w:r>
      <w:r w:rsidR="000C48A7" w:rsidRPr="009371D6">
        <w:rPr>
          <w:szCs w:val="20"/>
        </w:rPr>
        <w:t>includ</w:t>
      </w:r>
      <w:r w:rsidR="00C95C54" w:rsidRPr="009371D6">
        <w:rPr>
          <w:szCs w:val="20"/>
        </w:rPr>
        <w:t>ed</w:t>
      </w:r>
      <w:r w:rsidR="000C48A7" w:rsidRPr="009371D6">
        <w:rPr>
          <w:szCs w:val="20"/>
        </w:rPr>
        <w:t xml:space="preserve"> a microwave fat-depth scanner for lamb and beef, </w:t>
      </w:r>
      <w:r w:rsidR="004F2462" w:rsidRPr="009371D6">
        <w:rPr>
          <w:szCs w:val="20"/>
        </w:rPr>
        <w:t xml:space="preserve">a 3D imaging camera for beef, </w:t>
      </w:r>
      <w:r w:rsidR="000C48A7" w:rsidRPr="009371D6">
        <w:rPr>
          <w:szCs w:val="20"/>
        </w:rPr>
        <w:t>the PorkScan Mk2 system</w:t>
      </w:r>
      <w:r w:rsidR="008A7EC5" w:rsidRPr="009371D6">
        <w:rPr>
          <w:szCs w:val="20"/>
        </w:rPr>
        <w:t>,</w:t>
      </w:r>
      <w:r w:rsidR="00116305" w:rsidRPr="009371D6">
        <w:rPr>
          <w:szCs w:val="20"/>
        </w:rPr>
        <w:t xml:space="preserve"> </w:t>
      </w:r>
      <w:r w:rsidR="008A7EC5" w:rsidRPr="009371D6">
        <w:rPr>
          <w:szCs w:val="20"/>
        </w:rPr>
        <w:t>probe technologies</w:t>
      </w:r>
      <w:r w:rsidR="00116305" w:rsidRPr="009371D6">
        <w:rPr>
          <w:szCs w:val="20"/>
        </w:rPr>
        <w:t xml:space="preserve"> and blockchain systems integration</w:t>
      </w:r>
      <w:r w:rsidR="00655CC3" w:rsidRPr="009371D6">
        <w:rPr>
          <w:rStyle w:val="FootnoteReference"/>
          <w:sz w:val="20"/>
          <w:szCs w:val="20"/>
        </w:rPr>
        <w:footnoteReference w:id="34"/>
      </w:r>
      <w:r w:rsidR="000C48A7" w:rsidRPr="009371D6">
        <w:rPr>
          <w:szCs w:val="20"/>
        </w:rPr>
        <w:t>.</w:t>
      </w:r>
      <w:r w:rsidRPr="009371D6">
        <w:rPr>
          <w:szCs w:val="20"/>
        </w:rPr>
        <w:t xml:space="preserve"> </w:t>
      </w:r>
    </w:p>
    <w:p w14:paraId="52A204B0" w14:textId="045FB6A2" w:rsidR="00CC6647" w:rsidRPr="009371D6" w:rsidRDefault="00CC6647" w:rsidP="00704B38">
      <w:pPr>
        <w:rPr>
          <w:szCs w:val="20"/>
        </w:rPr>
      </w:pPr>
    </w:p>
    <w:p w14:paraId="4503BD39" w14:textId="15164C38" w:rsidR="00CC6647" w:rsidRDefault="008465DA" w:rsidP="00704B38">
      <w:pPr>
        <w:rPr>
          <w:szCs w:val="20"/>
        </w:rPr>
      </w:pPr>
      <w:r w:rsidRPr="009371D6">
        <w:rPr>
          <w:szCs w:val="20"/>
        </w:rPr>
        <w:t>It is important for all employees in the meat industry to be highly skilled to be able to keep up to date with the latest processes and technology to ensure that graduates have current skills and knowledge to work in this sector of the industry.</w:t>
      </w:r>
    </w:p>
    <w:p w14:paraId="1376BE9D" w14:textId="77777777" w:rsidR="00C6344A" w:rsidRPr="009371D6" w:rsidRDefault="00C6344A" w:rsidP="00704B38">
      <w:pPr>
        <w:rPr>
          <w:szCs w:val="20"/>
        </w:rPr>
      </w:pPr>
    </w:p>
    <w:p w14:paraId="0253185F" w14:textId="77777777" w:rsidR="00E86C27" w:rsidRPr="005725AC" w:rsidRDefault="00E86C27" w:rsidP="00E86C27">
      <w:pPr>
        <w:pStyle w:val="Heading3"/>
      </w:pPr>
      <w:bookmarkStart w:id="32" w:name="_Toc115363699"/>
      <w:bookmarkEnd w:id="31"/>
      <w:r>
        <w:t xml:space="preserve">Food Safety </w:t>
      </w:r>
      <w:r w:rsidRPr="005725AC">
        <w:t>QA &amp; Regulatory Compliance</w:t>
      </w:r>
      <w:bookmarkEnd w:id="32"/>
    </w:p>
    <w:p w14:paraId="55DB89C9" w14:textId="347B1C45" w:rsidR="00E86C27" w:rsidRDefault="00E86C27" w:rsidP="00E94D72">
      <w:pPr>
        <w:pStyle w:val="Heading4"/>
      </w:pPr>
      <w:bookmarkStart w:id="33" w:name="_Toc115363700"/>
      <w:r w:rsidRPr="00833707">
        <w:t xml:space="preserve">Food </w:t>
      </w:r>
      <w:r>
        <w:t xml:space="preserve">safety </w:t>
      </w:r>
      <w:r w:rsidRPr="00833707">
        <w:t>regulations</w:t>
      </w:r>
      <w:r>
        <w:t>,</w:t>
      </w:r>
      <w:r w:rsidRPr="007C6DE2">
        <w:t xml:space="preserve"> codes of practice and guidelines</w:t>
      </w:r>
      <w:bookmarkEnd w:id="33"/>
    </w:p>
    <w:p w14:paraId="1EBFFDBD" w14:textId="1C6234E0" w:rsidR="002F41A5" w:rsidRDefault="00747515" w:rsidP="002F41A5">
      <w:r>
        <w:t xml:space="preserve">Please see the </w:t>
      </w:r>
      <w:r w:rsidRPr="00167D54">
        <w:rPr>
          <w:i/>
          <w:iCs/>
        </w:rPr>
        <w:t>Agribusiness,</w:t>
      </w:r>
      <w:r>
        <w:rPr>
          <w:i/>
          <w:iCs/>
        </w:rPr>
        <w:t xml:space="preserve"> </w:t>
      </w:r>
      <w:r w:rsidRPr="00167D54">
        <w:rPr>
          <w:i/>
          <w:iCs/>
        </w:rPr>
        <w:t>Food</w:t>
      </w:r>
      <w:r>
        <w:rPr>
          <w:i/>
          <w:iCs/>
        </w:rPr>
        <w:t xml:space="preserve"> </w:t>
      </w:r>
      <w:r w:rsidRPr="00167D54">
        <w:rPr>
          <w:i/>
          <w:iCs/>
        </w:rPr>
        <w:t>and</w:t>
      </w:r>
      <w:r>
        <w:rPr>
          <w:i/>
          <w:iCs/>
        </w:rPr>
        <w:t xml:space="preserve"> </w:t>
      </w:r>
      <w:r w:rsidRPr="00167D54">
        <w:rPr>
          <w:i/>
          <w:iCs/>
        </w:rPr>
        <w:t>Fibre</w:t>
      </w:r>
      <w:r>
        <w:rPr>
          <w:i/>
          <w:iCs/>
        </w:rPr>
        <w:t xml:space="preserve"> </w:t>
      </w:r>
      <w:r w:rsidRPr="00167D54">
        <w:rPr>
          <w:i/>
          <w:iCs/>
        </w:rPr>
        <w:t>Industries</w:t>
      </w:r>
      <w:r>
        <w:rPr>
          <w:i/>
          <w:iCs/>
        </w:rPr>
        <w:t xml:space="preserve"> </w:t>
      </w:r>
      <w:r w:rsidRPr="00167D54">
        <w:rPr>
          <w:i/>
          <w:iCs/>
        </w:rPr>
        <w:t>Skills</w:t>
      </w:r>
      <w:r>
        <w:rPr>
          <w:i/>
          <w:iCs/>
        </w:rPr>
        <w:t xml:space="preserve"> </w:t>
      </w:r>
      <w:r w:rsidRPr="00167D54">
        <w:rPr>
          <w:i/>
          <w:iCs/>
        </w:rPr>
        <w:t>Report</w:t>
      </w:r>
      <w:r>
        <w:rPr>
          <w:i/>
          <w:iCs/>
        </w:rPr>
        <w:t xml:space="preserve"> </w:t>
      </w:r>
      <w:r>
        <w:t>for further details on industry</w:t>
      </w:r>
      <w:r w:rsidR="009F319B">
        <w:t xml:space="preserve">-specific and cross-industry </w:t>
      </w:r>
      <w:r w:rsidR="005D73CA">
        <w:t>practices</w:t>
      </w:r>
      <w:r w:rsidR="009F319B">
        <w:t xml:space="preserve"> and </w:t>
      </w:r>
      <w:r w:rsidR="005D73CA">
        <w:t>legislation</w:t>
      </w:r>
      <w:r w:rsidR="009F319B">
        <w:t>.</w:t>
      </w:r>
      <w:r w:rsidR="002F41A5" w:rsidRPr="002F41A5">
        <w:t xml:space="preserve"> </w:t>
      </w:r>
      <w:r w:rsidR="002F41A5">
        <w:t xml:space="preserve">It describes how </w:t>
      </w:r>
      <w:r w:rsidR="000F6CA3">
        <w:t xml:space="preserve">quality assurance programs, such as Hazard Analysis Critical Control Point (HACCP), and legislation are </w:t>
      </w:r>
      <w:r w:rsidR="002F41A5">
        <w:t xml:space="preserve">playing a key role in ensuring product integrity in meat processing. High food safety standards play a </w:t>
      </w:r>
      <w:r w:rsidR="00FC1943">
        <w:t xml:space="preserve">key </w:t>
      </w:r>
      <w:r w:rsidR="002F41A5">
        <w:t xml:space="preserve">role in preserving the industry's reputation for clean and </w:t>
      </w:r>
      <w:r w:rsidR="00C00A63">
        <w:t xml:space="preserve">consistent </w:t>
      </w:r>
      <w:r w:rsidR="00FC1943">
        <w:t>meat products.</w:t>
      </w:r>
    </w:p>
    <w:p w14:paraId="71F86585" w14:textId="4675ECBD" w:rsidR="00747515" w:rsidRDefault="00747515" w:rsidP="00747515"/>
    <w:p w14:paraId="6A24EB44" w14:textId="077E0ECA" w:rsidR="005D73CA" w:rsidRDefault="00433EED" w:rsidP="005D73CA">
      <w:r>
        <w:t>C</w:t>
      </w:r>
      <w:r w:rsidR="005D73CA">
        <w:t>ompl</w:t>
      </w:r>
      <w:r>
        <w:t>ying</w:t>
      </w:r>
      <w:r w:rsidR="005D73CA">
        <w:t xml:space="preserve"> with federal, state and</w:t>
      </w:r>
      <w:r w:rsidR="00822137">
        <w:t xml:space="preserve"> </w:t>
      </w:r>
      <w:r w:rsidR="005D73CA">
        <w:t>territory legislation is a</w:t>
      </w:r>
      <w:r w:rsidR="0045423E">
        <w:t>n</w:t>
      </w:r>
      <w:r w:rsidR="005D73CA">
        <w:t xml:space="preserve"> </w:t>
      </w:r>
      <w:r w:rsidR="00822137">
        <w:t>important</w:t>
      </w:r>
      <w:r w:rsidR="005D73CA">
        <w:t xml:space="preserve"> requirement for all industry </w:t>
      </w:r>
      <w:r w:rsidR="00822137">
        <w:t>operators</w:t>
      </w:r>
      <w:r w:rsidR="005D73CA">
        <w:t xml:space="preserve">. Areas </w:t>
      </w:r>
      <w:r w:rsidR="000950EC">
        <w:t>requiring skills and knowledge to address</w:t>
      </w:r>
      <w:r w:rsidR="005D73CA">
        <w:t xml:space="preserve"> legislative and regulatory compliance include</w:t>
      </w:r>
      <w:r w:rsidR="000950EC">
        <w:t>:</w:t>
      </w:r>
    </w:p>
    <w:p w14:paraId="256273BC" w14:textId="0D217620" w:rsidR="005D73CA" w:rsidRPr="000950EC" w:rsidRDefault="005D73CA" w:rsidP="000950EC">
      <w:pPr>
        <w:pStyle w:val="ListBullet"/>
      </w:pPr>
      <w:r w:rsidRPr="000950EC">
        <w:t>animal health, welfare and ethical obligations</w:t>
      </w:r>
    </w:p>
    <w:p w14:paraId="4CFEB994" w14:textId="1772B711" w:rsidR="005D73CA" w:rsidRPr="000950EC" w:rsidRDefault="005D73CA" w:rsidP="000950EC">
      <w:pPr>
        <w:pStyle w:val="ListBullet"/>
      </w:pPr>
      <w:r w:rsidRPr="000950EC">
        <w:t>food handling and safety requirements</w:t>
      </w:r>
    </w:p>
    <w:p w14:paraId="63224B24" w14:textId="58E84B4D" w:rsidR="005D73CA" w:rsidRPr="000950EC" w:rsidRDefault="005D73CA" w:rsidP="000950EC">
      <w:pPr>
        <w:pStyle w:val="ListBullet"/>
      </w:pPr>
      <w:r w:rsidRPr="000950EC">
        <w:t>microbiological sampling and testing requirements</w:t>
      </w:r>
    </w:p>
    <w:p w14:paraId="35A97EE4" w14:textId="55AC8986" w:rsidR="005D73CA" w:rsidRPr="000950EC" w:rsidRDefault="005D73CA" w:rsidP="000950EC">
      <w:pPr>
        <w:pStyle w:val="ListBullet"/>
      </w:pPr>
      <w:r w:rsidRPr="000950EC">
        <w:t>biosecurity and quarantine procedures</w:t>
      </w:r>
    </w:p>
    <w:p w14:paraId="446D5BD3" w14:textId="629A5251" w:rsidR="005D73CA" w:rsidRPr="000950EC" w:rsidRDefault="005D73CA" w:rsidP="000950EC">
      <w:pPr>
        <w:pStyle w:val="ListBullet"/>
      </w:pPr>
      <w:r w:rsidRPr="000950EC">
        <w:t>local government regulations</w:t>
      </w:r>
    </w:p>
    <w:p w14:paraId="3268985A" w14:textId="31B4FEA2" w:rsidR="005D73CA" w:rsidRPr="000950EC" w:rsidRDefault="005D73CA" w:rsidP="000950EC">
      <w:pPr>
        <w:pStyle w:val="ListBullet"/>
      </w:pPr>
      <w:r w:rsidRPr="000950EC">
        <w:t>workplace health and safety responsibilities</w:t>
      </w:r>
    </w:p>
    <w:p w14:paraId="0ED40635" w14:textId="10F02A4C" w:rsidR="005D73CA" w:rsidRDefault="005D73CA" w:rsidP="000950EC">
      <w:pPr>
        <w:pStyle w:val="ListBullet2"/>
      </w:pPr>
      <w:r>
        <w:lastRenderedPageBreak/>
        <w:t>waste handling and disposal.</w:t>
      </w:r>
    </w:p>
    <w:p w14:paraId="7E01F692" w14:textId="731189C8" w:rsidR="00E52C35" w:rsidRDefault="00E52C35" w:rsidP="00E52C35">
      <w:r>
        <w:t xml:space="preserve">For example, animal welfare compliance requires skills for their unloading, handling, stunning and slaughter, as well as confirmation of unconsciousness and death, in addition to required euthanasia or humane killing. </w:t>
      </w:r>
    </w:p>
    <w:p w14:paraId="10D15961" w14:textId="77777777" w:rsidR="00E52C35" w:rsidRDefault="00E52C35" w:rsidP="00747515"/>
    <w:p w14:paraId="030FC40F" w14:textId="23C60A10" w:rsidR="005D73CA" w:rsidRDefault="0001337E" w:rsidP="00747515">
      <w:r>
        <w:t xml:space="preserve">To be competitive in national and </w:t>
      </w:r>
      <w:r w:rsidR="0094782F">
        <w:t xml:space="preserve">international markets, a number of programs and initiatives have been implemented to ensure </w:t>
      </w:r>
      <w:r w:rsidR="0011556F">
        <w:t xml:space="preserve">products are meeting the </w:t>
      </w:r>
      <w:r w:rsidR="00EE255A">
        <w:t>needs</w:t>
      </w:r>
      <w:r w:rsidR="0011556F">
        <w:t xml:space="preserve"> of consumers and importing </w:t>
      </w:r>
      <w:r w:rsidR="00346CC7">
        <w:t xml:space="preserve">countries. </w:t>
      </w:r>
      <w:r w:rsidR="00593DAF">
        <w:t xml:space="preserve">This requires that workers be consistently skilled to achieve the intended outcomes of these programs. </w:t>
      </w:r>
    </w:p>
    <w:p w14:paraId="77E9DE76" w14:textId="6208591D" w:rsidR="00A256E6" w:rsidRDefault="00A256E6" w:rsidP="00747515"/>
    <w:p w14:paraId="754FA9D7" w14:textId="3612C3B7" w:rsidR="00A256E6" w:rsidRPr="009371D6" w:rsidRDefault="00206E54" w:rsidP="00747515">
      <w:pPr>
        <w:rPr>
          <w:szCs w:val="20"/>
        </w:rPr>
      </w:pPr>
      <w:r w:rsidRPr="009371D6">
        <w:rPr>
          <w:szCs w:val="20"/>
        </w:rPr>
        <w:t xml:space="preserve">The Australian Export Meat Inspection System (AEMIS) is an integrated set of </w:t>
      </w:r>
      <w:r w:rsidR="00CD2F56" w:rsidRPr="009371D6">
        <w:rPr>
          <w:szCs w:val="20"/>
        </w:rPr>
        <w:t xml:space="preserve">objective hygiene and performance standards </w:t>
      </w:r>
      <w:r w:rsidR="006B13B1" w:rsidRPr="009371D6">
        <w:rPr>
          <w:szCs w:val="20"/>
        </w:rPr>
        <w:t xml:space="preserve">that are </w:t>
      </w:r>
      <w:r w:rsidRPr="009371D6">
        <w:rPr>
          <w:szCs w:val="20"/>
        </w:rPr>
        <w:t xml:space="preserve">specified and verified by the Australian Government </w:t>
      </w:r>
      <w:r w:rsidR="006B13B1" w:rsidRPr="009371D6">
        <w:rPr>
          <w:szCs w:val="20"/>
        </w:rPr>
        <w:t xml:space="preserve">to </w:t>
      </w:r>
      <w:r w:rsidRPr="009371D6">
        <w:rPr>
          <w:szCs w:val="20"/>
        </w:rPr>
        <w:t xml:space="preserve">ensure the safety, suitability and integrity of meat products. </w:t>
      </w:r>
      <w:r w:rsidR="00B24F28" w:rsidRPr="009371D6">
        <w:rPr>
          <w:szCs w:val="20"/>
        </w:rPr>
        <w:t xml:space="preserve">The </w:t>
      </w:r>
      <w:r w:rsidR="00B24F28" w:rsidRPr="009371D6">
        <w:rPr>
          <w:i/>
          <w:iCs/>
          <w:szCs w:val="20"/>
        </w:rPr>
        <w:t>Australian Standard for the Hygienic Production and Transportation of Meat and Meat Products for Human Consumption (AS4696)</w:t>
      </w:r>
      <w:r w:rsidR="00B24F28" w:rsidRPr="009371D6">
        <w:rPr>
          <w:szCs w:val="20"/>
        </w:rPr>
        <w:t xml:space="preserve"> </w:t>
      </w:r>
      <w:r w:rsidR="000B5220" w:rsidRPr="009371D6">
        <w:rPr>
          <w:szCs w:val="20"/>
        </w:rPr>
        <w:t>states</w:t>
      </w:r>
      <w:r w:rsidR="00B24F28" w:rsidRPr="009371D6">
        <w:rPr>
          <w:szCs w:val="20"/>
        </w:rPr>
        <w:t xml:space="preserve"> that a suitably qualified meat inspector performs post-mortem inspection and </w:t>
      </w:r>
      <w:r w:rsidR="00E30F13" w:rsidRPr="009371D6">
        <w:rPr>
          <w:szCs w:val="20"/>
        </w:rPr>
        <w:t xml:space="preserve">assesses the suitability of </w:t>
      </w:r>
      <w:r w:rsidR="00B24F28" w:rsidRPr="009371D6">
        <w:rPr>
          <w:szCs w:val="20"/>
        </w:rPr>
        <w:t>each carcase and its carcase parts</w:t>
      </w:r>
      <w:r w:rsidR="00F6583C" w:rsidRPr="009371D6">
        <w:rPr>
          <w:rStyle w:val="FootnoteReference"/>
          <w:sz w:val="20"/>
          <w:szCs w:val="20"/>
        </w:rPr>
        <w:footnoteReference w:id="35"/>
      </w:r>
      <w:r w:rsidR="00B24F28" w:rsidRPr="009371D6">
        <w:rPr>
          <w:szCs w:val="20"/>
        </w:rPr>
        <w:t>.</w:t>
      </w:r>
    </w:p>
    <w:p w14:paraId="3DF1ECBE" w14:textId="05140161" w:rsidR="0094782F" w:rsidRPr="009371D6" w:rsidRDefault="0094782F" w:rsidP="00747515">
      <w:pPr>
        <w:rPr>
          <w:szCs w:val="20"/>
        </w:rPr>
      </w:pPr>
    </w:p>
    <w:p w14:paraId="7FEDED12" w14:textId="6F0442B4" w:rsidR="0094782F" w:rsidRPr="009371D6" w:rsidRDefault="0094782F" w:rsidP="0094782F">
      <w:pPr>
        <w:rPr>
          <w:szCs w:val="20"/>
        </w:rPr>
      </w:pPr>
      <w:r w:rsidRPr="009371D6">
        <w:rPr>
          <w:szCs w:val="20"/>
        </w:rPr>
        <w:t xml:space="preserve">The National Residue Survey </w:t>
      </w:r>
      <w:r w:rsidR="007A4BB4" w:rsidRPr="009371D6">
        <w:rPr>
          <w:szCs w:val="20"/>
        </w:rPr>
        <w:t>tests</w:t>
      </w:r>
      <w:r w:rsidRPr="009371D6">
        <w:rPr>
          <w:szCs w:val="20"/>
        </w:rPr>
        <w:t xml:space="preserve"> Australian cattle tissue samples for pesticides, </w:t>
      </w:r>
      <w:r w:rsidR="00F33AE8" w:rsidRPr="009371D6">
        <w:rPr>
          <w:szCs w:val="20"/>
        </w:rPr>
        <w:t xml:space="preserve">environmental contaminants and </w:t>
      </w:r>
      <w:r w:rsidRPr="009371D6">
        <w:rPr>
          <w:szCs w:val="20"/>
        </w:rPr>
        <w:t>veterinary medicines</w:t>
      </w:r>
      <w:r w:rsidR="00841512" w:rsidRPr="009371D6">
        <w:rPr>
          <w:szCs w:val="20"/>
        </w:rPr>
        <w:t xml:space="preserve"> to ensure potential chemical residues do not pose a risk </w:t>
      </w:r>
      <w:r w:rsidR="00944CC3" w:rsidRPr="009371D6">
        <w:rPr>
          <w:szCs w:val="20"/>
        </w:rPr>
        <w:t>to consumers</w:t>
      </w:r>
      <w:r w:rsidRPr="009371D6">
        <w:rPr>
          <w:szCs w:val="20"/>
        </w:rPr>
        <w:t>. The program ensures exports satisfy Australian certification and importing country requirements</w:t>
      </w:r>
      <w:r w:rsidR="00283656" w:rsidRPr="009371D6">
        <w:rPr>
          <w:szCs w:val="20"/>
        </w:rPr>
        <w:t>. It</w:t>
      </w:r>
      <w:r w:rsidRPr="009371D6">
        <w:rPr>
          <w:szCs w:val="20"/>
        </w:rPr>
        <w:t xml:space="preserve"> </w:t>
      </w:r>
      <w:r w:rsidR="00283656" w:rsidRPr="009371D6">
        <w:rPr>
          <w:szCs w:val="20"/>
        </w:rPr>
        <w:t xml:space="preserve">further </w:t>
      </w:r>
      <w:r w:rsidRPr="009371D6">
        <w:rPr>
          <w:szCs w:val="20"/>
        </w:rPr>
        <w:t xml:space="preserve">supports quality assurance initiatives and </w:t>
      </w:r>
      <w:r w:rsidR="00B166DB" w:rsidRPr="009371D6">
        <w:rPr>
          <w:szCs w:val="20"/>
        </w:rPr>
        <w:t xml:space="preserve">provides </w:t>
      </w:r>
      <w:r w:rsidRPr="009371D6">
        <w:rPr>
          <w:szCs w:val="20"/>
        </w:rPr>
        <w:t xml:space="preserve">meat processing facilities </w:t>
      </w:r>
      <w:r w:rsidR="00B166DB" w:rsidRPr="009371D6">
        <w:rPr>
          <w:szCs w:val="20"/>
        </w:rPr>
        <w:t xml:space="preserve">with evidence that </w:t>
      </w:r>
      <w:r w:rsidRPr="009371D6">
        <w:rPr>
          <w:szCs w:val="20"/>
        </w:rPr>
        <w:t>satisf</w:t>
      </w:r>
      <w:r w:rsidR="00B166DB" w:rsidRPr="009371D6">
        <w:rPr>
          <w:szCs w:val="20"/>
        </w:rPr>
        <w:t>ies</w:t>
      </w:r>
      <w:r w:rsidRPr="009371D6">
        <w:rPr>
          <w:szCs w:val="20"/>
        </w:rPr>
        <w:t xml:space="preserve"> state and territory government regulat</w:t>
      </w:r>
      <w:r w:rsidR="00EA4B89" w:rsidRPr="009371D6">
        <w:rPr>
          <w:szCs w:val="20"/>
        </w:rPr>
        <w:t>ory</w:t>
      </w:r>
      <w:r w:rsidRPr="009371D6">
        <w:rPr>
          <w:szCs w:val="20"/>
        </w:rPr>
        <w:t xml:space="preserve"> </w:t>
      </w:r>
      <w:r w:rsidR="00EA4B89" w:rsidRPr="009371D6">
        <w:rPr>
          <w:szCs w:val="20"/>
        </w:rPr>
        <w:t xml:space="preserve">and </w:t>
      </w:r>
      <w:r w:rsidRPr="009371D6">
        <w:rPr>
          <w:szCs w:val="20"/>
        </w:rPr>
        <w:t>licensing requirements</w:t>
      </w:r>
      <w:r w:rsidR="002F5B83" w:rsidRPr="009371D6">
        <w:rPr>
          <w:rStyle w:val="FootnoteReference"/>
          <w:sz w:val="20"/>
          <w:szCs w:val="20"/>
        </w:rPr>
        <w:footnoteReference w:id="36"/>
      </w:r>
      <w:r w:rsidRPr="009371D6">
        <w:rPr>
          <w:szCs w:val="20"/>
        </w:rPr>
        <w:t>.</w:t>
      </w:r>
    </w:p>
    <w:p w14:paraId="6B859D3C" w14:textId="77777777" w:rsidR="0094782F" w:rsidRPr="009371D6" w:rsidRDefault="0094782F" w:rsidP="00747515">
      <w:pPr>
        <w:rPr>
          <w:szCs w:val="20"/>
        </w:rPr>
      </w:pPr>
    </w:p>
    <w:p w14:paraId="50F43922" w14:textId="5A9792A3" w:rsidR="00D7203F" w:rsidRPr="009371D6" w:rsidRDefault="00335A84" w:rsidP="002D6DB5">
      <w:pPr>
        <w:rPr>
          <w:szCs w:val="20"/>
        </w:rPr>
      </w:pPr>
      <w:r w:rsidRPr="009371D6">
        <w:rPr>
          <w:szCs w:val="20"/>
        </w:rPr>
        <w:t>T</w:t>
      </w:r>
      <w:r w:rsidR="00330475" w:rsidRPr="009371D6">
        <w:rPr>
          <w:szCs w:val="20"/>
        </w:rPr>
        <w:t xml:space="preserve">he number and complexity of </w:t>
      </w:r>
      <w:r w:rsidRPr="009371D6">
        <w:rPr>
          <w:szCs w:val="20"/>
        </w:rPr>
        <w:t>mea</w:t>
      </w:r>
      <w:r w:rsidR="00A77E8C" w:rsidRPr="009371D6">
        <w:rPr>
          <w:szCs w:val="20"/>
        </w:rPr>
        <w:t>t</w:t>
      </w:r>
      <w:r w:rsidRPr="009371D6">
        <w:rPr>
          <w:szCs w:val="20"/>
        </w:rPr>
        <w:t xml:space="preserve"> </w:t>
      </w:r>
      <w:r w:rsidR="00330475" w:rsidRPr="009371D6">
        <w:rPr>
          <w:szCs w:val="20"/>
        </w:rPr>
        <w:t>safety regulations, codes of practice and guidelines</w:t>
      </w:r>
      <w:r w:rsidRPr="009371D6">
        <w:rPr>
          <w:szCs w:val="20"/>
        </w:rPr>
        <w:t xml:space="preserve"> </w:t>
      </w:r>
      <w:r w:rsidR="00A77E8C" w:rsidRPr="009371D6">
        <w:rPr>
          <w:szCs w:val="20"/>
        </w:rPr>
        <w:t xml:space="preserve">means that </w:t>
      </w:r>
      <w:r w:rsidR="00330475" w:rsidRPr="009371D6">
        <w:rPr>
          <w:szCs w:val="20"/>
        </w:rPr>
        <w:t xml:space="preserve">it is extremely difficult for new </w:t>
      </w:r>
      <w:r w:rsidR="00A77E8C" w:rsidRPr="009371D6">
        <w:rPr>
          <w:szCs w:val="20"/>
        </w:rPr>
        <w:t xml:space="preserve">businesses </w:t>
      </w:r>
      <w:r w:rsidR="00330475" w:rsidRPr="009371D6">
        <w:rPr>
          <w:szCs w:val="20"/>
        </w:rPr>
        <w:t xml:space="preserve">to become established quickly. </w:t>
      </w:r>
      <w:r w:rsidR="003719D2" w:rsidRPr="009371D6">
        <w:rPr>
          <w:szCs w:val="20"/>
        </w:rPr>
        <w:t xml:space="preserve">Skills and </w:t>
      </w:r>
      <w:r w:rsidR="00330475" w:rsidRPr="009371D6">
        <w:rPr>
          <w:szCs w:val="20"/>
        </w:rPr>
        <w:t xml:space="preserve">training are </w:t>
      </w:r>
      <w:r w:rsidR="003719D2" w:rsidRPr="009371D6">
        <w:rPr>
          <w:szCs w:val="20"/>
        </w:rPr>
        <w:t xml:space="preserve">critical for addressing these barriers, for </w:t>
      </w:r>
      <w:r w:rsidR="008507A4" w:rsidRPr="009371D6">
        <w:rPr>
          <w:szCs w:val="20"/>
        </w:rPr>
        <w:t xml:space="preserve">developing the capabilities of </w:t>
      </w:r>
      <w:r w:rsidR="003719D2" w:rsidRPr="009371D6">
        <w:rPr>
          <w:szCs w:val="20"/>
        </w:rPr>
        <w:t xml:space="preserve">new entrants </w:t>
      </w:r>
      <w:r w:rsidR="008507A4" w:rsidRPr="009371D6">
        <w:rPr>
          <w:szCs w:val="20"/>
        </w:rPr>
        <w:t>to the industry and supporting business prosperity</w:t>
      </w:r>
      <w:r w:rsidR="00330475" w:rsidRPr="009371D6">
        <w:rPr>
          <w:szCs w:val="20"/>
        </w:rPr>
        <w:t>.</w:t>
      </w:r>
    </w:p>
    <w:p w14:paraId="4B244046" w14:textId="317A5EAD" w:rsidR="00E86C27" w:rsidRPr="007C6DE2" w:rsidRDefault="00E86C27" w:rsidP="00E94D72">
      <w:pPr>
        <w:pStyle w:val="Heading4"/>
      </w:pPr>
      <w:bookmarkStart w:id="34" w:name="_Toc115363701"/>
      <w:r>
        <w:t>Regulated occupations</w:t>
      </w:r>
      <w:bookmarkEnd w:id="34"/>
    </w:p>
    <w:p w14:paraId="7DCE26AC" w14:textId="149062E6" w:rsidR="00C22F02" w:rsidRDefault="00C22F02" w:rsidP="00C22F02">
      <w:r>
        <w:t>Regulated occupations have legal (or industry) requirements or restrictions that must be adhered to so to perform the work. Regulated occupations require a licen</w:t>
      </w:r>
      <w:r w:rsidR="000A522A">
        <w:t>c</w:t>
      </w:r>
      <w:r>
        <w:t>e from, or registration by, a professional association or occupational licensing authority. T</w:t>
      </w:r>
      <w:r w:rsidRPr="00AC45F4">
        <w:t>he N</w:t>
      </w:r>
      <w:r>
        <w:t xml:space="preserve">ational Training </w:t>
      </w:r>
      <w:r w:rsidRPr="00AC45F4">
        <w:t>R</w:t>
      </w:r>
      <w:r>
        <w:t>egister (training.gov.au)</w:t>
      </w:r>
      <w:r w:rsidRPr="00AC45F4">
        <w:t xml:space="preserve"> </w:t>
      </w:r>
      <w:r>
        <w:t>identifies w</w:t>
      </w:r>
      <w:r w:rsidR="000A522A">
        <w:t>hich</w:t>
      </w:r>
      <w:r>
        <w:t xml:space="preserve"> occupations </w:t>
      </w:r>
      <w:r w:rsidRPr="00B74DF9">
        <w:t>require</w:t>
      </w:r>
      <w:r>
        <w:t xml:space="preserve"> that a formal qualification, skill set or unit of competency be held for specific </w:t>
      </w:r>
      <w:r w:rsidRPr="00AC45F4">
        <w:t>licensing, legislative or certification requirements</w:t>
      </w:r>
      <w:r w:rsidR="00973581">
        <w:t xml:space="preserve"> (see </w:t>
      </w:r>
      <w:r w:rsidR="005A5E95" w:rsidRPr="005A5E95">
        <w:rPr>
          <w:b/>
          <w:bCs/>
        </w:rPr>
        <w:fldChar w:fldCharType="begin"/>
      </w:r>
      <w:r w:rsidR="005A5E95" w:rsidRPr="005A5E95">
        <w:rPr>
          <w:b/>
          <w:bCs/>
        </w:rPr>
        <w:instrText xml:space="preserve"> REF _Ref107914263 \h </w:instrText>
      </w:r>
      <w:r w:rsidR="005A5E95">
        <w:rPr>
          <w:b/>
          <w:bCs/>
        </w:rPr>
        <w:instrText xml:space="preserve"> \* MERGEFORMAT </w:instrText>
      </w:r>
      <w:r w:rsidR="005A5E95" w:rsidRPr="005A5E95">
        <w:rPr>
          <w:b/>
          <w:bCs/>
        </w:rPr>
      </w:r>
      <w:r w:rsidR="005A5E95" w:rsidRPr="005A5E95">
        <w:rPr>
          <w:b/>
          <w:bCs/>
        </w:rPr>
        <w:fldChar w:fldCharType="separate"/>
      </w:r>
      <w:r w:rsidR="00C6344A" w:rsidRPr="00C6344A">
        <w:rPr>
          <w:b/>
          <w:bCs/>
        </w:rPr>
        <w:t xml:space="preserve">Table </w:t>
      </w:r>
      <w:r w:rsidR="00C6344A" w:rsidRPr="00C6344A">
        <w:rPr>
          <w:b/>
          <w:bCs/>
          <w:noProof/>
        </w:rPr>
        <w:t>1</w:t>
      </w:r>
      <w:r w:rsidR="005A5E95" w:rsidRPr="005A5E95">
        <w:rPr>
          <w:b/>
          <w:bCs/>
        </w:rPr>
        <w:fldChar w:fldCharType="end"/>
      </w:r>
      <w:r w:rsidR="005A5E95">
        <w:t xml:space="preserve"> </w:t>
      </w:r>
      <w:r w:rsidR="00973581">
        <w:t>below)</w:t>
      </w:r>
      <w:r w:rsidRPr="00AC45F4">
        <w:t>.</w:t>
      </w:r>
      <w:r>
        <w:t xml:space="preserve"> </w:t>
      </w:r>
    </w:p>
    <w:p w14:paraId="10D576E2" w14:textId="77777777" w:rsidR="00973581" w:rsidRDefault="00973581" w:rsidP="00C22F02"/>
    <w:p w14:paraId="68AE83AD" w14:textId="6600E4A9" w:rsidR="00C22F02" w:rsidRDefault="00C22F02" w:rsidP="00A215AD">
      <w:r>
        <w:t xml:space="preserve">The only </w:t>
      </w:r>
      <w:r w:rsidRPr="0045009B">
        <w:t>meat</w:t>
      </w:r>
      <w:r>
        <w:t xml:space="preserve"> industry-specific occupation that requires a licen</w:t>
      </w:r>
      <w:r w:rsidR="000A522A">
        <w:t>c</w:t>
      </w:r>
      <w:r>
        <w:t xml:space="preserve">e is that of meat inspector. Registration can be with a federal or state authority, depending on the nature of the enterprise. Other professionals who work with meat processors, as well as a range of other industries, who require formal licensing or qualifications include veterinarians, animal welfare officers, electricians, plumbers and forklift operators, which are all occupations. </w:t>
      </w:r>
      <w:r w:rsidR="00A215AD">
        <w:t>Requirements for meat inspection, veterinary and animal welfare officer credentials and on-site presence differs depending on the jurisdiction and whether the establishment produces export or domestic products</w:t>
      </w:r>
      <w:r w:rsidR="00517EE4">
        <w:rPr>
          <w:rStyle w:val="FootnoteReference"/>
        </w:rPr>
        <w:footnoteReference w:id="37"/>
      </w:r>
      <w:r w:rsidR="00A215AD">
        <w:t>.</w:t>
      </w:r>
    </w:p>
    <w:p w14:paraId="4B51274C" w14:textId="035D6AC6" w:rsidR="00C6344A" w:rsidRDefault="00C6344A" w:rsidP="00A215AD"/>
    <w:p w14:paraId="31D5F171" w14:textId="51F6EE19" w:rsidR="00C6344A" w:rsidRDefault="00C6344A" w:rsidP="00A215AD"/>
    <w:p w14:paraId="09191572" w14:textId="12C627DA" w:rsidR="00C6344A" w:rsidRDefault="00C6344A" w:rsidP="00A215AD"/>
    <w:p w14:paraId="56F3A279" w14:textId="18ECFF14" w:rsidR="00C6344A" w:rsidRDefault="00C6344A" w:rsidP="00A215AD"/>
    <w:p w14:paraId="57025F42" w14:textId="77777777" w:rsidR="00C6344A" w:rsidRDefault="00C6344A" w:rsidP="00A215A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A5E95" w14:paraId="0EF15C19" w14:textId="77777777" w:rsidTr="005A5E95">
        <w:tc>
          <w:tcPr>
            <w:tcW w:w="9350" w:type="dxa"/>
          </w:tcPr>
          <w:p w14:paraId="32695BBE" w14:textId="300D0D03" w:rsidR="005A5E95" w:rsidRDefault="005A5E95" w:rsidP="005A5E95">
            <w:pPr>
              <w:pStyle w:val="TableTitle"/>
            </w:pPr>
            <w:bookmarkStart w:id="35" w:name="_Ref107914263"/>
            <w:r>
              <w:lastRenderedPageBreak/>
              <w:t xml:space="preserve">Table </w:t>
            </w:r>
            <w:r w:rsidR="0069100F">
              <w:fldChar w:fldCharType="begin"/>
            </w:r>
            <w:r w:rsidR="0069100F">
              <w:instrText xml:space="preserve"> SEQ Table \* ARABIC </w:instrText>
            </w:r>
            <w:r w:rsidR="0069100F">
              <w:fldChar w:fldCharType="separate"/>
            </w:r>
            <w:r w:rsidR="00C6344A">
              <w:rPr>
                <w:noProof/>
              </w:rPr>
              <w:t>1</w:t>
            </w:r>
            <w:r w:rsidR="0069100F">
              <w:rPr>
                <w:noProof/>
              </w:rPr>
              <w:fldChar w:fldCharType="end"/>
            </w:r>
            <w:bookmarkEnd w:id="35"/>
            <w:r>
              <w:t xml:space="preserve">: </w:t>
            </w:r>
            <w:r w:rsidRPr="005A5E95">
              <w:rPr>
                <w:rFonts w:eastAsia="Times New Roman"/>
                <w:bCs/>
                <w:color w:val="auto"/>
                <w:lang w:eastAsia="en-AU"/>
              </w:rPr>
              <w:t>Licensing, Legislative or Certification requirement</w:t>
            </w:r>
            <w:r>
              <w:rPr>
                <w:rFonts w:eastAsia="Times New Roman"/>
                <w:bCs/>
                <w:color w:val="auto"/>
                <w:lang w:eastAsia="en-AU"/>
              </w:rPr>
              <w:t>s</w:t>
            </w:r>
          </w:p>
        </w:tc>
      </w:tr>
      <w:tr w:rsidR="005A5E95" w14:paraId="704FB2CF" w14:textId="77777777" w:rsidTr="005A5E95">
        <w:tc>
          <w:tcPr>
            <w:tcW w:w="9350" w:type="dxa"/>
          </w:tcPr>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6726"/>
            </w:tblGrid>
            <w:tr w:rsidR="005A5E95" w:rsidRPr="003807A1" w14:paraId="592006F6" w14:textId="77777777" w:rsidTr="00AF5F36">
              <w:trPr>
                <w:trHeight w:val="432"/>
              </w:trPr>
              <w:tc>
                <w:tcPr>
                  <w:tcW w:w="2148" w:type="dxa"/>
                  <w:shd w:val="clear" w:color="000000" w:fill="00843D"/>
                  <w:noWrap/>
                  <w:vAlign w:val="center"/>
                  <w:hideMark/>
                </w:tcPr>
                <w:p w14:paraId="7175ABB0" w14:textId="77777777" w:rsidR="005A5E95" w:rsidRPr="003807A1" w:rsidRDefault="005A5E95" w:rsidP="005A5E95">
                  <w:pPr>
                    <w:rPr>
                      <w:rFonts w:eastAsia="Times New Roman"/>
                      <w:b/>
                      <w:bCs/>
                      <w:color w:val="FFFFFF"/>
                      <w:szCs w:val="20"/>
                      <w:lang w:eastAsia="en-AU"/>
                    </w:rPr>
                  </w:pPr>
                  <w:r w:rsidRPr="003807A1">
                    <w:rPr>
                      <w:rFonts w:eastAsia="Times New Roman"/>
                      <w:b/>
                      <w:bCs/>
                      <w:color w:val="FFFFFF"/>
                      <w:szCs w:val="20"/>
                      <w:lang w:eastAsia="en-AU"/>
                    </w:rPr>
                    <w:t>Qualification Title</w:t>
                  </w:r>
                </w:p>
              </w:tc>
              <w:tc>
                <w:tcPr>
                  <w:tcW w:w="6726" w:type="dxa"/>
                  <w:shd w:val="clear" w:color="000000" w:fill="00843D"/>
                  <w:vAlign w:val="center"/>
                  <w:hideMark/>
                </w:tcPr>
                <w:p w14:paraId="4A487792" w14:textId="77777777" w:rsidR="005A5E95" w:rsidRPr="003807A1" w:rsidRDefault="005A5E95" w:rsidP="005A5E95">
                  <w:pPr>
                    <w:rPr>
                      <w:rFonts w:eastAsia="Times New Roman"/>
                      <w:b/>
                      <w:bCs/>
                      <w:color w:val="FFFFFF"/>
                      <w:szCs w:val="20"/>
                      <w:lang w:eastAsia="en-AU"/>
                    </w:rPr>
                  </w:pPr>
                  <w:bookmarkStart w:id="36" w:name="_Hlk96434188"/>
                  <w:r w:rsidRPr="003807A1">
                    <w:rPr>
                      <w:rFonts w:eastAsia="Times New Roman"/>
                      <w:b/>
                      <w:bCs/>
                      <w:color w:val="FFFFFF"/>
                      <w:szCs w:val="20"/>
                      <w:lang w:eastAsia="en-AU"/>
                    </w:rPr>
                    <w:t>Licensing, Legislative or Certification requirement</w:t>
                  </w:r>
                  <w:bookmarkEnd w:id="36"/>
                </w:p>
              </w:tc>
            </w:tr>
            <w:tr w:rsidR="005A5E95" w:rsidRPr="003807A1" w14:paraId="304F3F3A" w14:textId="77777777" w:rsidTr="00AF5F36">
              <w:trPr>
                <w:trHeight w:val="910"/>
              </w:trPr>
              <w:tc>
                <w:tcPr>
                  <w:tcW w:w="2148" w:type="dxa"/>
                  <w:shd w:val="clear" w:color="auto" w:fill="auto"/>
                  <w:vAlign w:val="center"/>
                  <w:hideMark/>
                </w:tcPr>
                <w:p w14:paraId="3CB7ECED" w14:textId="77777777" w:rsidR="005A5E95" w:rsidRPr="003807A1" w:rsidRDefault="005A5E95" w:rsidP="005A5E95">
                  <w:pPr>
                    <w:jc w:val="left"/>
                    <w:rPr>
                      <w:rFonts w:eastAsia="Times New Roman"/>
                      <w:color w:val="000000"/>
                      <w:szCs w:val="20"/>
                      <w:lang w:eastAsia="en-AU"/>
                    </w:rPr>
                  </w:pPr>
                  <w:r w:rsidRPr="00F56B5B">
                    <w:rPr>
                      <w:rFonts w:eastAsia="Times New Roman"/>
                      <w:color w:val="000000"/>
                      <w:szCs w:val="20"/>
                      <w:lang w:eastAsia="en-AU"/>
                    </w:rPr>
                    <w:t>Certificate III in Meat Processing (Meat Safety)</w:t>
                  </w:r>
                </w:p>
              </w:tc>
              <w:tc>
                <w:tcPr>
                  <w:tcW w:w="6726" w:type="dxa"/>
                  <w:shd w:val="clear" w:color="auto" w:fill="auto"/>
                  <w:vAlign w:val="center"/>
                  <w:hideMark/>
                </w:tcPr>
                <w:p w14:paraId="7709069A" w14:textId="77777777" w:rsidR="005A5E95" w:rsidRPr="003807A1" w:rsidRDefault="005A5E95" w:rsidP="005A5E95">
                  <w:pPr>
                    <w:jc w:val="left"/>
                    <w:rPr>
                      <w:rFonts w:eastAsia="Times New Roman"/>
                      <w:color w:val="000000"/>
                      <w:szCs w:val="20"/>
                      <w:lang w:eastAsia="en-AU"/>
                    </w:rPr>
                  </w:pPr>
                  <w:r w:rsidRPr="003807A1">
                    <w:rPr>
                      <w:rFonts w:eastAsia="Times New Roman"/>
                      <w:color w:val="000000"/>
                      <w:szCs w:val="20"/>
                      <w:lang w:eastAsia="en-AU"/>
                    </w:rPr>
                    <w:t>People seeking registration as a meat inspector should check the current requirements with their state or territory food authority or the Australian Government – Agriculture, as appropriate, when selecting electives.</w:t>
                  </w:r>
                </w:p>
              </w:tc>
            </w:tr>
            <w:tr w:rsidR="005A5E95" w:rsidRPr="003807A1" w14:paraId="0018FE97" w14:textId="77777777" w:rsidTr="00AF5F36">
              <w:trPr>
                <w:trHeight w:val="1967"/>
              </w:trPr>
              <w:tc>
                <w:tcPr>
                  <w:tcW w:w="2148" w:type="dxa"/>
                  <w:shd w:val="clear" w:color="auto" w:fill="auto"/>
                  <w:vAlign w:val="center"/>
                  <w:hideMark/>
                </w:tcPr>
                <w:p w14:paraId="6B396285" w14:textId="77777777" w:rsidR="005A5E95" w:rsidRPr="003807A1" w:rsidRDefault="005A5E95" w:rsidP="005A5E95">
                  <w:pPr>
                    <w:jc w:val="left"/>
                    <w:rPr>
                      <w:rFonts w:eastAsia="Times New Roman"/>
                      <w:color w:val="000000"/>
                      <w:szCs w:val="20"/>
                      <w:lang w:eastAsia="en-AU"/>
                    </w:rPr>
                  </w:pPr>
                  <w:r w:rsidRPr="003807A1">
                    <w:rPr>
                      <w:rFonts w:eastAsia="Times New Roman"/>
                      <w:color w:val="000000"/>
                      <w:szCs w:val="20"/>
                      <w:lang w:eastAsia="en-AU"/>
                    </w:rPr>
                    <w:t>Certificate IV in Meat Processing (Meat Safety)</w:t>
                  </w:r>
                </w:p>
              </w:tc>
              <w:tc>
                <w:tcPr>
                  <w:tcW w:w="6726" w:type="dxa"/>
                  <w:shd w:val="clear" w:color="auto" w:fill="auto"/>
                  <w:vAlign w:val="center"/>
                  <w:hideMark/>
                </w:tcPr>
                <w:p w14:paraId="138568FA" w14:textId="77777777" w:rsidR="005A5E95" w:rsidRPr="003807A1" w:rsidRDefault="005A5E95" w:rsidP="005A5E95">
                  <w:pPr>
                    <w:jc w:val="left"/>
                    <w:rPr>
                      <w:rFonts w:eastAsia="Times New Roman"/>
                      <w:color w:val="000000"/>
                      <w:szCs w:val="20"/>
                      <w:lang w:eastAsia="en-AU"/>
                    </w:rPr>
                  </w:pPr>
                  <w:r w:rsidRPr="003807A1">
                    <w:rPr>
                      <w:rFonts w:eastAsia="Times New Roman"/>
                      <w:color w:val="000000"/>
                      <w:szCs w:val="20"/>
                      <w:lang w:eastAsia="en-AU"/>
                    </w:rPr>
                    <w:t>People seeking registration as a meat inspector should check the current requirements with their state or territory food authority or the Australian Government – Agriculture, as appropriate, when selecting electives.</w:t>
                  </w:r>
                  <w:r w:rsidRPr="003807A1">
                    <w:rPr>
                      <w:rFonts w:eastAsia="Times New Roman"/>
                      <w:color w:val="000000"/>
                      <w:szCs w:val="20"/>
                      <w:lang w:eastAsia="en-AU"/>
                    </w:rPr>
                    <w:br/>
                  </w:r>
                  <w:r w:rsidRPr="003807A1">
                    <w:rPr>
                      <w:rFonts w:eastAsia="Times New Roman"/>
                      <w:color w:val="000000"/>
                      <w:szCs w:val="20"/>
                      <w:lang w:eastAsia="en-AU"/>
                    </w:rPr>
                    <w:br/>
                    <w:t>This qualification differs from the Certificate III in Meat Processing (Meat Safety) in that it addresses the skills and knowledge necessary to oversee the implementation of Approved Arrangements and workplace health and safety programs.</w:t>
                  </w:r>
                </w:p>
              </w:tc>
            </w:tr>
            <w:tr w:rsidR="005A5E95" w:rsidRPr="003807A1" w14:paraId="357CC5FA" w14:textId="77777777" w:rsidTr="00AF5F36">
              <w:trPr>
                <w:trHeight w:val="1269"/>
              </w:trPr>
              <w:tc>
                <w:tcPr>
                  <w:tcW w:w="2148" w:type="dxa"/>
                  <w:shd w:val="clear" w:color="auto" w:fill="auto"/>
                  <w:vAlign w:val="center"/>
                  <w:hideMark/>
                </w:tcPr>
                <w:p w14:paraId="59EB8A12" w14:textId="77777777" w:rsidR="005A5E95" w:rsidRPr="003807A1" w:rsidRDefault="005A5E95" w:rsidP="005A5E95">
                  <w:pPr>
                    <w:jc w:val="left"/>
                    <w:rPr>
                      <w:rFonts w:eastAsia="Times New Roman"/>
                      <w:color w:val="000000"/>
                      <w:szCs w:val="20"/>
                      <w:lang w:eastAsia="en-AU"/>
                    </w:rPr>
                  </w:pPr>
                  <w:r w:rsidRPr="003807A1">
                    <w:rPr>
                      <w:rFonts w:eastAsia="Times New Roman"/>
                      <w:color w:val="000000"/>
                      <w:szCs w:val="20"/>
                      <w:lang w:eastAsia="en-AU"/>
                    </w:rPr>
                    <w:t>Diploma of Food Safety Auditing</w:t>
                  </w:r>
                </w:p>
              </w:tc>
              <w:tc>
                <w:tcPr>
                  <w:tcW w:w="6726" w:type="dxa"/>
                  <w:shd w:val="clear" w:color="auto" w:fill="auto"/>
                  <w:vAlign w:val="center"/>
                  <w:hideMark/>
                </w:tcPr>
                <w:p w14:paraId="3C1CBC9E" w14:textId="77777777" w:rsidR="005A5E95" w:rsidRPr="003807A1" w:rsidRDefault="005A5E95" w:rsidP="005A5E95">
                  <w:pPr>
                    <w:jc w:val="left"/>
                    <w:rPr>
                      <w:rFonts w:eastAsia="Times New Roman"/>
                      <w:color w:val="000000"/>
                      <w:szCs w:val="20"/>
                      <w:lang w:eastAsia="en-AU"/>
                    </w:rPr>
                  </w:pPr>
                  <w:r w:rsidRPr="003807A1">
                    <w:rPr>
                      <w:rFonts w:eastAsia="Times New Roman"/>
                      <w:color w:val="000000"/>
                      <w:szCs w:val="20"/>
                      <w:lang w:eastAsia="en-AU"/>
                    </w:rPr>
                    <w:t>Regulatory food safety audits in Australia are covered by state, territory and Commonwealth legislative frameworks that support the requirements of the National Food Safety Audit Policy 2009. Users must check requirements with the relevant regulatory authority before delivery.</w:t>
                  </w:r>
                </w:p>
              </w:tc>
            </w:tr>
          </w:tbl>
          <w:p w14:paraId="5C66D6EA" w14:textId="77777777" w:rsidR="005A5E95" w:rsidRDefault="005A5E95" w:rsidP="005A5E95">
            <w:pPr>
              <w:pStyle w:val="TableInside"/>
            </w:pPr>
          </w:p>
        </w:tc>
      </w:tr>
      <w:tr w:rsidR="005A5E95" w14:paraId="558457C9" w14:textId="77777777" w:rsidTr="005A5E95">
        <w:tc>
          <w:tcPr>
            <w:tcW w:w="9350" w:type="dxa"/>
          </w:tcPr>
          <w:p w14:paraId="3C8BAD4E" w14:textId="4C7D1532" w:rsidR="005A5E95" w:rsidRDefault="005A5E95" w:rsidP="005A5E95">
            <w:pPr>
              <w:pStyle w:val="TableSource"/>
            </w:pPr>
            <w:r>
              <w:t>Source: training.gov.au</w:t>
            </w:r>
          </w:p>
        </w:tc>
      </w:tr>
    </w:tbl>
    <w:p w14:paraId="1C8BD5FA" w14:textId="77777777" w:rsidR="00E86C27" w:rsidRDefault="00E86C27" w:rsidP="00E86C27">
      <w:pPr>
        <w:pStyle w:val="Heading3"/>
      </w:pPr>
      <w:bookmarkStart w:id="37" w:name="_Toc115363702"/>
      <w:r>
        <w:t xml:space="preserve">Workplace and Value Chain Risk Management and </w:t>
      </w:r>
      <w:r w:rsidRPr="005725AC">
        <w:t>Safety Culture</w:t>
      </w:r>
      <w:bookmarkEnd w:id="37"/>
    </w:p>
    <w:p w14:paraId="7C768912" w14:textId="4A4A257E" w:rsidR="00E86C27" w:rsidRDefault="00E86C27" w:rsidP="00E94D72">
      <w:pPr>
        <w:pStyle w:val="Heading4"/>
      </w:pPr>
      <w:bookmarkStart w:id="38" w:name="_Toc115363703"/>
      <w:bookmarkStart w:id="39" w:name="WorkplaceSafety"/>
      <w:r w:rsidRPr="007761A8">
        <w:t>Workplace safety</w:t>
      </w:r>
      <w:bookmarkEnd w:id="38"/>
      <w:r w:rsidRPr="007761A8">
        <w:t xml:space="preserve"> </w:t>
      </w:r>
    </w:p>
    <w:p w14:paraId="198D3F33" w14:textId="345BBF7F" w:rsidR="000E3E80" w:rsidRPr="009371D6" w:rsidRDefault="000E3E80" w:rsidP="000E3E80">
      <w:pPr>
        <w:rPr>
          <w:szCs w:val="20"/>
        </w:rPr>
      </w:pPr>
      <w:r w:rsidRPr="009371D6">
        <w:rPr>
          <w:szCs w:val="20"/>
        </w:rPr>
        <w:t xml:space="preserve">Please see the </w:t>
      </w:r>
      <w:r w:rsidRPr="009371D6">
        <w:rPr>
          <w:i/>
          <w:iCs/>
          <w:szCs w:val="20"/>
        </w:rPr>
        <w:t xml:space="preserve">Agribusiness, Food and Fibre Industries Skills Report </w:t>
      </w:r>
      <w:r w:rsidRPr="009371D6">
        <w:rPr>
          <w:szCs w:val="20"/>
        </w:rPr>
        <w:t>for further details on issues relating to workplace safety.</w:t>
      </w:r>
    </w:p>
    <w:p w14:paraId="3ECE36D1" w14:textId="77777777" w:rsidR="00843790" w:rsidRPr="009371D6" w:rsidRDefault="00843790" w:rsidP="000E3E80">
      <w:pPr>
        <w:rPr>
          <w:szCs w:val="20"/>
        </w:rPr>
      </w:pPr>
    </w:p>
    <w:p w14:paraId="4435D9BA" w14:textId="563258D6" w:rsidR="0081745D" w:rsidRPr="009371D6" w:rsidRDefault="00D05562" w:rsidP="003C7994">
      <w:pPr>
        <w:rPr>
          <w:szCs w:val="20"/>
        </w:rPr>
      </w:pPr>
      <w:r w:rsidRPr="009371D6">
        <w:rPr>
          <w:szCs w:val="20"/>
        </w:rPr>
        <w:t xml:space="preserve">Workplace safety is of particular concern </w:t>
      </w:r>
      <w:r w:rsidR="003A7697" w:rsidRPr="009371D6">
        <w:rPr>
          <w:szCs w:val="20"/>
        </w:rPr>
        <w:t xml:space="preserve">to the meat processing industry </w:t>
      </w:r>
      <w:r w:rsidRPr="009371D6">
        <w:rPr>
          <w:szCs w:val="20"/>
        </w:rPr>
        <w:t xml:space="preserve">due to the specific tools and animals that people work with. </w:t>
      </w:r>
      <w:r w:rsidR="00DF32E3" w:rsidRPr="009371D6">
        <w:rPr>
          <w:szCs w:val="20"/>
        </w:rPr>
        <w:t xml:space="preserve">The National Meat Industry Training Advisory Council Limited (MINTRAC) </w:t>
      </w:r>
      <w:r w:rsidR="003727A2" w:rsidRPr="009371D6">
        <w:rPr>
          <w:szCs w:val="20"/>
        </w:rPr>
        <w:t>highlight common</w:t>
      </w:r>
      <w:r w:rsidR="00DF32E3" w:rsidRPr="009371D6">
        <w:rPr>
          <w:szCs w:val="20"/>
        </w:rPr>
        <w:t xml:space="preserve"> </w:t>
      </w:r>
      <w:r w:rsidR="009533F7" w:rsidRPr="009371D6">
        <w:rPr>
          <w:szCs w:val="20"/>
        </w:rPr>
        <w:t>workplace</w:t>
      </w:r>
      <w:r w:rsidR="00DF32E3" w:rsidRPr="009371D6">
        <w:rPr>
          <w:szCs w:val="20"/>
        </w:rPr>
        <w:t xml:space="preserve"> risks</w:t>
      </w:r>
      <w:r w:rsidR="009533F7" w:rsidRPr="009371D6">
        <w:rPr>
          <w:szCs w:val="20"/>
        </w:rPr>
        <w:t>:</w:t>
      </w:r>
    </w:p>
    <w:p w14:paraId="1F0B0102" w14:textId="64FB4B44" w:rsidR="00C016D8" w:rsidRPr="009371D6" w:rsidRDefault="00C016D8" w:rsidP="00C016D8">
      <w:pPr>
        <w:pStyle w:val="ListBullet"/>
        <w:numPr>
          <w:ilvl w:val="0"/>
          <w:numId w:val="0"/>
        </w:numPr>
        <w:rPr>
          <w:szCs w:val="20"/>
        </w:rPr>
        <w:sectPr w:rsidR="00C016D8" w:rsidRPr="009371D6" w:rsidSect="00DA5911">
          <w:headerReference w:type="even" r:id="rId15"/>
          <w:headerReference w:type="default" r:id="rId16"/>
          <w:footerReference w:type="even" r:id="rId17"/>
          <w:footerReference w:type="default" r:id="rId18"/>
          <w:pgSz w:w="12240" w:h="15840"/>
          <w:pgMar w:top="1440" w:right="1440" w:bottom="1440" w:left="1440" w:header="720" w:footer="720" w:gutter="0"/>
          <w:cols w:space="720"/>
          <w:docGrid w:linePitch="360"/>
        </w:sectPr>
      </w:pPr>
    </w:p>
    <w:p w14:paraId="6EFAA676" w14:textId="77777777" w:rsidR="006F1EC2" w:rsidRPr="009371D6" w:rsidRDefault="006F1EC2" w:rsidP="00C016D8">
      <w:pPr>
        <w:pStyle w:val="ListBullet"/>
        <w:spacing w:before="240"/>
        <w:rPr>
          <w:szCs w:val="20"/>
        </w:rPr>
      </w:pPr>
      <w:r w:rsidRPr="009371D6">
        <w:rPr>
          <w:szCs w:val="20"/>
        </w:rPr>
        <w:t>Handling of Knives</w:t>
      </w:r>
    </w:p>
    <w:p w14:paraId="59E68A71" w14:textId="77777777" w:rsidR="006F1EC2" w:rsidRPr="009371D6" w:rsidRDefault="006F1EC2" w:rsidP="003727A2">
      <w:pPr>
        <w:pStyle w:val="ListBullet"/>
        <w:rPr>
          <w:szCs w:val="20"/>
        </w:rPr>
      </w:pPr>
      <w:r w:rsidRPr="009371D6">
        <w:rPr>
          <w:szCs w:val="20"/>
        </w:rPr>
        <w:t>Use of Plant Equipment</w:t>
      </w:r>
    </w:p>
    <w:p w14:paraId="0EB613AE" w14:textId="6A969EDC" w:rsidR="006F1EC2" w:rsidRPr="009371D6" w:rsidRDefault="006F1EC2" w:rsidP="003727A2">
      <w:pPr>
        <w:pStyle w:val="ListBullet"/>
        <w:rPr>
          <w:szCs w:val="20"/>
        </w:rPr>
      </w:pPr>
      <w:r w:rsidRPr="009371D6">
        <w:rPr>
          <w:szCs w:val="20"/>
        </w:rPr>
        <w:t xml:space="preserve">Manual </w:t>
      </w:r>
      <w:r w:rsidR="00A85695">
        <w:rPr>
          <w:szCs w:val="20"/>
        </w:rPr>
        <w:t>handling</w:t>
      </w:r>
    </w:p>
    <w:p w14:paraId="53FFD3FE" w14:textId="77777777" w:rsidR="006F1EC2" w:rsidRPr="009371D6" w:rsidRDefault="006F1EC2" w:rsidP="003727A2">
      <w:pPr>
        <w:pStyle w:val="ListBullet"/>
        <w:rPr>
          <w:szCs w:val="20"/>
        </w:rPr>
      </w:pPr>
      <w:r w:rsidRPr="009371D6">
        <w:rPr>
          <w:szCs w:val="20"/>
        </w:rPr>
        <w:t>Chemical Spillage</w:t>
      </w:r>
    </w:p>
    <w:p w14:paraId="2884DFBD" w14:textId="2E0DC79A" w:rsidR="006F1EC2" w:rsidRPr="009371D6" w:rsidRDefault="00A85695" w:rsidP="003727A2">
      <w:pPr>
        <w:pStyle w:val="ListBullet"/>
        <w:rPr>
          <w:szCs w:val="20"/>
        </w:rPr>
      </w:pPr>
      <w:r>
        <w:rPr>
          <w:szCs w:val="20"/>
        </w:rPr>
        <w:t>Lives</w:t>
      </w:r>
      <w:r w:rsidR="006F1EC2" w:rsidRPr="009371D6">
        <w:rPr>
          <w:szCs w:val="20"/>
        </w:rPr>
        <w:t>tock Handling</w:t>
      </w:r>
    </w:p>
    <w:p w14:paraId="5C5323DE" w14:textId="67ADA323" w:rsidR="006F1EC2" w:rsidRPr="009371D6" w:rsidRDefault="00A85695" w:rsidP="003727A2">
      <w:pPr>
        <w:pStyle w:val="ListBullet"/>
        <w:rPr>
          <w:szCs w:val="20"/>
        </w:rPr>
      </w:pPr>
      <w:r>
        <w:rPr>
          <w:szCs w:val="20"/>
        </w:rPr>
        <w:t>Slips, trips and falls</w:t>
      </w:r>
    </w:p>
    <w:p w14:paraId="4219547F" w14:textId="77777777" w:rsidR="006F1EC2" w:rsidRPr="009371D6" w:rsidRDefault="006F1EC2" w:rsidP="003727A2">
      <w:pPr>
        <w:pStyle w:val="ListBullet"/>
        <w:rPr>
          <w:szCs w:val="20"/>
        </w:rPr>
      </w:pPr>
      <w:r w:rsidRPr="009371D6">
        <w:rPr>
          <w:szCs w:val="20"/>
        </w:rPr>
        <w:t>Bullying</w:t>
      </w:r>
    </w:p>
    <w:p w14:paraId="56283F54" w14:textId="77777777" w:rsidR="006F1EC2" w:rsidRPr="009371D6" w:rsidRDefault="006F1EC2" w:rsidP="003727A2">
      <w:pPr>
        <w:pStyle w:val="ListBullet"/>
        <w:rPr>
          <w:szCs w:val="20"/>
        </w:rPr>
      </w:pPr>
      <w:r w:rsidRPr="009371D6">
        <w:rPr>
          <w:szCs w:val="20"/>
        </w:rPr>
        <w:t>Fatigue</w:t>
      </w:r>
    </w:p>
    <w:p w14:paraId="04325C4F" w14:textId="77777777" w:rsidR="00C016D8" w:rsidRPr="009371D6" w:rsidRDefault="00C016D8" w:rsidP="003727A2">
      <w:pPr>
        <w:rPr>
          <w:szCs w:val="20"/>
        </w:rPr>
        <w:sectPr w:rsidR="00C016D8" w:rsidRPr="009371D6" w:rsidSect="00C016D8">
          <w:type w:val="continuous"/>
          <w:pgSz w:w="12240" w:h="15840"/>
          <w:pgMar w:top="1440" w:right="1440" w:bottom="1440" w:left="1440" w:header="720" w:footer="720" w:gutter="0"/>
          <w:cols w:num="2" w:space="720"/>
          <w:docGrid w:linePitch="360"/>
        </w:sectPr>
      </w:pPr>
    </w:p>
    <w:p w14:paraId="30872FCA" w14:textId="77777777" w:rsidR="005C289B" w:rsidRPr="009371D6" w:rsidRDefault="005C289B" w:rsidP="003727A2">
      <w:pPr>
        <w:rPr>
          <w:szCs w:val="20"/>
        </w:rPr>
      </w:pPr>
    </w:p>
    <w:p w14:paraId="2B003C6B" w14:textId="0113AACA" w:rsidR="003727A2" w:rsidRPr="009371D6" w:rsidRDefault="003727A2" w:rsidP="003727A2">
      <w:pPr>
        <w:rPr>
          <w:szCs w:val="20"/>
        </w:rPr>
      </w:pPr>
      <w:r w:rsidRPr="009371D6">
        <w:rPr>
          <w:szCs w:val="20"/>
        </w:rPr>
        <w:t xml:space="preserve">Knives </w:t>
      </w:r>
      <w:r w:rsidR="00843790" w:rsidRPr="009371D6">
        <w:rPr>
          <w:szCs w:val="20"/>
        </w:rPr>
        <w:t>are likely to be the</w:t>
      </w:r>
      <w:r w:rsidRPr="009371D6">
        <w:rPr>
          <w:szCs w:val="20"/>
        </w:rPr>
        <w:t xml:space="preserve"> most used tool in any meat production unit. </w:t>
      </w:r>
      <w:r w:rsidR="00843790" w:rsidRPr="009371D6">
        <w:rPr>
          <w:szCs w:val="20"/>
        </w:rPr>
        <w:t xml:space="preserve">Care </w:t>
      </w:r>
      <w:r w:rsidRPr="009371D6">
        <w:rPr>
          <w:szCs w:val="20"/>
        </w:rPr>
        <w:t xml:space="preserve">must </w:t>
      </w:r>
      <w:r w:rsidR="00843790" w:rsidRPr="009371D6">
        <w:rPr>
          <w:szCs w:val="20"/>
        </w:rPr>
        <w:t>be</w:t>
      </w:r>
      <w:r w:rsidRPr="009371D6">
        <w:rPr>
          <w:szCs w:val="20"/>
        </w:rPr>
        <w:t xml:space="preserve"> take</w:t>
      </w:r>
      <w:r w:rsidR="00843790" w:rsidRPr="009371D6">
        <w:rPr>
          <w:szCs w:val="20"/>
        </w:rPr>
        <w:t>n</w:t>
      </w:r>
      <w:r w:rsidRPr="009371D6">
        <w:rPr>
          <w:szCs w:val="20"/>
        </w:rPr>
        <w:t xml:space="preserve"> in handling such sharp objects. </w:t>
      </w:r>
    </w:p>
    <w:p w14:paraId="431AA665" w14:textId="77777777" w:rsidR="003727A2" w:rsidRPr="009371D6" w:rsidRDefault="003727A2" w:rsidP="003727A2">
      <w:pPr>
        <w:rPr>
          <w:szCs w:val="20"/>
        </w:rPr>
      </w:pPr>
    </w:p>
    <w:p w14:paraId="04B754EE" w14:textId="63F29082" w:rsidR="006F1EC2" w:rsidRPr="009371D6" w:rsidRDefault="000B51BA" w:rsidP="006F1EC2">
      <w:pPr>
        <w:rPr>
          <w:szCs w:val="20"/>
        </w:rPr>
      </w:pPr>
      <w:r w:rsidRPr="009371D6">
        <w:rPr>
          <w:szCs w:val="20"/>
        </w:rPr>
        <w:t>MINTRAC describe m</w:t>
      </w:r>
      <w:r w:rsidR="003727A2" w:rsidRPr="009371D6">
        <w:rPr>
          <w:szCs w:val="20"/>
        </w:rPr>
        <w:t xml:space="preserve">anual </w:t>
      </w:r>
      <w:r w:rsidRPr="009371D6">
        <w:rPr>
          <w:szCs w:val="20"/>
        </w:rPr>
        <w:t>jobs</w:t>
      </w:r>
      <w:r w:rsidR="003727A2" w:rsidRPr="009371D6">
        <w:rPr>
          <w:szCs w:val="20"/>
        </w:rPr>
        <w:t xml:space="preserve"> </w:t>
      </w:r>
      <w:r w:rsidRPr="009371D6">
        <w:rPr>
          <w:szCs w:val="20"/>
        </w:rPr>
        <w:t xml:space="preserve">as </w:t>
      </w:r>
      <w:r w:rsidR="003727A2" w:rsidRPr="009371D6">
        <w:rPr>
          <w:szCs w:val="20"/>
        </w:rPr>
        <w:t xml:space="preserve">usually </w:t>
      </w:r>
      <w:r w:rsidR="00873918" w:rsidRPr="009371D6">
        <w:rPr>
          <w:szCs w:val="20"/>
        </w:rPr>
        <w:t xml:space="preserve">being </w:t>
      </w:r>
      <w:r w:rsidR="00F329BA" w:rsidRPr="009371D6">
        <w:rPr>
          <w:szCs w:val="20"/>
        </w:rPr>
        <w:t>repetitive</w:t>
      </w:r>
      <w:r w:rsidR="003727A2" w:rsidRPr="009371D6">
        <w:rPr>
          <w:szCs w:val="20"/>
        </w:rPr>
        <w:t xml:space="preserve"> and requir</w:t>
      </w:r>
      <w:r w:rsidR="00873918" w:rsidRPr="009371D6">
        <w:rPr>
          <w:szCs w:val="20"/>
        </w:rPr>
        <w:t>ing</w:t>
      </w:r>
      <w:r w:rsidR="003727A2" w:rsidRPr="009371D6">
        <w:rPr>
          <w:szCs w:val="20"/>
        </w:rPr>
        <w:t xml:space="preserve"> </w:t>
      </w:r>
      <w:r w:rsidR="00A42FF5" w:rsidRPr="009371D6">
        <w:rPr>
          <w:szCs w:val="20"/>
        </w:rPr>
        <w:t xml:space="preserve">physical </w:t>
      </w:r>
      <w:r w:rsidR="003727A2" w:rsidRPr="009371D6">
        <w:rPr>
          <w:szCs w:val="20"/>
        </w:rPr>
        <w:t xml:space="preserve">strength. </w:t>
      </w:r>
      <w:r w:rsidR="00873918" w:rsidRPr="009371D6">
        <w:rPr>
          <w:szCs w:val="20"/>
        </w:rPr>
        <w:t xml:space="preserve">In such </w:t>
      </w:r>
      <w:r w:rsidR="003727A2" w:rsidRPr="009371D6">
        <w:rPr>
          <w:szCs w:val="20"/>
        </w:rPr>
        <w:t>conditions</w:t>
      </w:r>
      <w:r w:rsidR="00873918" w:rsidRPr="009371D6">
        <w:rPr>
          <w:szCs w:val="20"/>
        </w:rPr>
        <w:t xml:space="preserve"> the risk</w:t>
      </w:r>
      <w:r w:rsidR="007E254F" w:rsidRPr="009371D6">
        <w:rPr>
          <w:szCs w:val="20"/>
        </w:rPr>
        <w:t>s</w:t>
      </w:r>
      <w:r w:rsidR="00873918" w:rsidRPr="009371D6">
        <w:rPr>
          <w:szCs w:val="20"/>
        </w:rPr>
        <w:t xml:space="preserve"> of injury, illness or death </w:t>
      </w:r>
      <w:r w:rsidR="007E254F" w:rsidRPr="009371D6">
        <w:rPr>
          <w:szCs w:val="20"/>
        </w:rPr>
        <w:t xml:space="preserve">are exacerbated because fatigue can lead to </w:t>
      </w:r>
      <w:r w:rsidR="00D57A3C" w:rsidRPr="009371D6">
        <w:rPr>
          <w:szCs w:val="20"/>
        </w:rPr>
        <w:t xml:space="preserve">incidents where people are cut, </w:t>
      </w:r>
      <w:r w:rsidR="00B83E37" w:rsidRPr="009371D6">
        <w:rPr>
          <w:szCs w:val="20"/>
        </w:rPr>
        <w:t xml:space="preserve">fall, </w:t>
      </w:r>
      <w:r w:rsidR="00F26263" w:rsidRPr="009371D6">
        <w:rPr>
          <w:szCs w:val="20"/>
        </w:rPr>
        <w:t xml:space="preserve">injured by equipment </w:t>
      </w:r>
      <w:r w:rsidR="00B83E37" w:rsidRPr="009371D6">
        <w:rPr>
          <w:szCs w:val="20"/>
        </w:rPr>
        <w:t xml:space="preserve">or </w:t>
      </w:r>
      <w:r w:rsidR="00D57A3C" w:rsidRPr="009371D6">
        <w:rPr>
          <w:szCs w:val="20"/>
        </w:rPr>
        <w:t xml:space="preserve">exposed to </w:t>
      </w:r>
      <w:r w:rsidR="006B0782" w:rsidRPr="009371D6">
        <w:rPr>
          <w:szCs w:val="20"/>
        </w:rPr>
        <w:t>chemical hazards</w:t>
      </w:r>
      <w:r w:rsidR="00F26263" w:rsidRPr="009371D6">
        <w:rPr>
          <w:szCs w:val="20"/>
        </w:rPr>
        <w:t>.</w:t>
      </w:r>
      <w:r w:rsidR="006B0782" w:rsidRPr="009371D6">
        <w:rPr>
          <w:szCs w:val="20"/>
        </w:rPr>
        <w:t xml:space="preserve"> </w:t>
      </w:r>
      <w:r w:rsidR="006F1EC2" w:rsidRPr="009371D6">
        <w:rPr>
          <w:szCs w:val="20"/>
        </w:rPr>
        <w:t xml:space="preserve">To manage these risks </w:t>
      </w:r>
      <w:r w:rsidR="00A451CF" w:rsidRPr="009371D6">
        <w:rPr>
          <w:szCs w:val="20"/>
        </w:rPr>
        <w:t xml:space="preserve">MINTRAC </w:t>
      </w:r>
      <w:r w:rsidR="00160688" w:rsidRPr="009371D6">
        <w:rPr>
          <w:szCs w:val="20"/>
        </w:rPr>
        <w:t>advise developing workers’ skills and knowledge to</w:t>
      </w:r>
      <w:r w:rsidR="006F1EC2" w:rsidRPr="009371D6">
        <w:rPr>
          <w:szCs w:val="20"/>
        </w:rPr>
        <w:t>:</w:t>
      </w:r>
    </w:p>
    <w:p w14:paraId="63DE7657" w14:textId="20841313" w:rsidR="006F1EC2" w:rsidRPr="009371D6" w:rsidRDefault="00E12993" w:rsidP="00160688">
      <w:pPr>
        <w:pStyle w:val="ListBullet"/>
        <w:rPr>
          <w:szCs w:val="20"/>
        </w:rPr>
      </w:pPr>
      <w:r w:rsidRPr="009371D6">
        <w:rPr>
          <w:szCs w:val="20"/>
        </w:rPr>
        <w:t>Control risks by a</w:t>
      </w:r>
      <w:r w:rsidR="006F1EC2" w:rsidRPr="009371D6">
        <w:rPr>
          <w:szCs w:val="20"/>
        </w:rPr>
        <w:t>dop</w:t>
      </w:r>
      <w:r w:rsidR="00160688" w:rsidRPr="009371D6">
        <w:rPr>
          <w:szCs w:val="20"/>
        </w:rPr>
        <w:t>t</w:t>
      </w:r>
      <w:r w:rsidRPr="009371D6">
        <w:rPr>
          <w:szCs w:val="20"/>
        </w:rPr>
        <w:t xml:space="preserve">ing </w:t>
      </w:r>
      <w:r w:rsidR="006F1EC2" w:rsidRPr="009371D6">
        <w:rPr>
          <w:szCs w:val="20"/>
        </w:rPr>
        <w:t>effective measure</w:t>
      </w:r>
      <w:r w:rsidRPr="009371D6">
        <w:rPr>
          <w:szCs w:val="20"/>
        </w:rPr>
        <w:t>s</w:t>
      </w:r>
      <w:r w:rsidR="006F1EC2" w:rsidRPr="009371D6">
        <w:rPr>
          <w:szCs w:val="20"/>
        </w:rPr>
        <w:t xml:space="preserve"> </w:t>
      </w:r>
      <w:r w:rsidRPr="009371D6">
        <w:rPr>
          <w:szCs w:val="20"/>
        </w:rPr>
        <w:t xml:space="preserve">that are </w:t>
      </w:r>
      <w:r w:rsidR="006F1EC2" w:rsidRPr="009371D6">
        <w:rPr>
          <w:szCs w:val="20"/>
        </w:rPr>
        <w:t xml:space="preserve">practicable in the </w:t>
      </w:r>
      <w:r w:rsidR="00166EBC" w:rsidRPr="009371D6">
        <w:rPr>
          <w:szCs w:val="20"/>
        </w:rPr>
        <w:t>workplace contexts</w:t>
      </w:r>
    </w:p>
    <w:p w14:paraId="686EC530" w14:textId="567B2CF7" w:rsidR="006F1EC2" w:rsidRPr="009371D6" w:rsidRDefault="006F1EC2" w:rsidP="00160688">
      <w:pPr>
        <w:pStyle w:val="ListBullet"/>
        <w:rPr>
          <w:szCs w:val="20"/>
        </w:rPr>
      </w:pPr>
      <w:r w:rsidRPr="009371D6">
        <w:rPr>
          <w:szCs w:val="20"/>
        </w:rPr>
        <w:lastRenderedPageBreak/>
        <w:t xml:space="preserve">Identify hazards associated with </w:t>
      </w:r>
      <w:r w:rsidR="00166EBC" w:rsidRPr="009371D6">
        <w:rPr>
          <w:szCs w:val="20"/>
        </w:rPr>
        <w:t xml:space="preserve">specific </w:t>
      </w:r>
      <w:r w:rsidRPr="009371D6">
        <w:rPr>
          <w:szCs w:val="20"/>
        </w:rPr>
        <w:t xml:space="preserve">work </w:t>
      </w:r>
      <w:r w:rsidR="00166EBC" w:rsidRPr="009371D6">
        <w:rPr>
          <w:szCs w:val="20"/>
        </w:rPr>
        <w:t xml:space="preserve">tasks </w:t>
      </w:r>
      <w:r w:rsidRPr="009371D6">
        <w:rPr>
          <w:szCs w:val="20"/>
        </w:rPr>
        <w:t>and setting</w:t>
      </w:r>
      <w:r w:rsidR="00166EBC" w:rsidRPr="009371D6">
        <w:rPr>
          <w:szCs w:val="20"/>
        </w:rPr>
        <w:t>s</w:t>
      </w:r>
    </w:p>
    <w:p w14:paraId="7C8FBD9E" w14:textId="060794A1" w:rsidR="006F1EC2" w:rsidRPr="009371D6" w:rsidRDefault="006F1EC2" w:rsidP="00160688">
      <w:pPr>
        <w:pStyle w:val="ListBullet"/>
        <w:rPr>
          <w:szCs w:val="20"/>
        </w:rPr>
      </w:pPr>
      <w:r w:rsidRPr="009371D6">
        <w:rPr>
          <w:szCs w:val="20"/>
        </w:rPr>
        <w:t xml:space="preserve">Understand the nature of the </w:t>
      </w:r>
      <w:r w:rsidR="00941FBA" w:rsidRPr="009371D6">
        <w:rPr>
          <w:szCs w:val="20"/>
        </w:rPr>
        <w:t xml:space="preserve">risk </w:t>
      </w:r>
      <w:r w:rsidRPr="009371D6">
        <w:rPr>
          <w:szCs w:val="20"/>
        </w:rPr>
        <w:t xml:space="preserve">and the likelihood of </w:t>
      </w:r>
      <w:r w:rsidR="00941FBA" w:rsidRPr="009371D6">
        <w:rPr>
          <w:szCs w:val="20"/>
        </w:rPr>
        <w:t>problems arising</w:t>
      </w:r>
    </w:p>
    <w:p w14:paraId="774824DD" w14:textId="6B9EC582" w:rsidR="009533F7" w:rsidRPr="009371D6" w:rsidRDefault="006F1EC2" w:rsidP="00160688">
      <w:pPr>
        <w:pStyle w:val="ListBullet2"/>
        <w:rPr>
          <w:szCs w:val="20"/>
        </w:rPr>
      </w:pPr>
      <w:r w:rsidRPr="009371D6">
        <w:rPr>
          <w:szCs w:val="20"/>
        </w:rPr>
        <w:t>Review control measures to ensure they are working as planned</w:t>
      </w:r>
      <w:r w:rsidR="0019375F" w:rsidRPr="009371D6">
        <w:rPr>
          <w:rStyle w:val="FootnoteReference"/>
          <w:sz w:val="20"/>
          <w:szCs w:val="20"/>
        </w:rPr>
        <w:footnoteReference w:id="38"/>
      </w:r>
      <w:r w:rsidR="009428A5">
        <w:rPr>
          <w:szCs w:val="20"/>
        </w:rPr>
        <w:t>.</w:t>
      </w:r>
    </w:p>
    <w:p w14:paraId="3FD0AC70" w14:textId="25DBC61D" w:rsidR="00253467" w:rsidRPr="009371D6" w:rsidRDefault="002F22F3" w:rsidP="003C7994">
      <w:pPr>
        <w:rPr>
          <w:szCs w:val="20"/>
        </w:rPr>
      </w:pPr>
      <w:r w:rsidRPr="009371D6">
        <w:rPr>
          <w:szCs w:val="20"/>
        </w:rPr>
        <w:t xml:space="preserve">To </w:t>
      </w:r>
      <w:r w:rsidR="00253467" w:rsidRPr="009371D6">
        <w:rPr>
          <w:szCs w:val="20"/>
        </w:rPr>
        <w:t xml:space="preserve">further support </w:t>
      </w:r>
      <w:r w:rsidR="00542E7A" w:rsidRPr="009371D6">
        <w:rPr>
          <w:szCs w:val="20"/>
        </w:rPr>
        <w:t>workplace health and safety (WHS)</w:t>
      </w:r>
      <w:r w:rsidR="00297AC5" w:rsidRPr="009371D6">
        <w:rPr>
          <w:szCs w:val="20"/>
        </w:rPr>
        <w:t xml:space="preserve">, </w:t>
      </w:r>
      <w:r w:rsidR="00253467" w:rsidRPr="009371D6">
        <w:rPr>
          <w:szCs w:val="20"/>
        </w:rPr>
        <w:t>AMPC deliver</w:t>
      </w:r>
      <w:r w:rsidR="00297AC5" w:rsidRPr="009371D6">
        <w:rPr>
          <w:szCs w:val="20"/>
        </w:rPr>
        <w:t>ed</w:t>
      </w:r>
      <w:r w:rsidR="00253467" w:rsidRPr="009371D6">
        <w:rPr>
          <w:szCs w:val="20"/>
        </w:rPr>
        <w:t xml:space="preserve"> its first WHS Conference</w:t>
      </w:r>
      <w:r w:rsidR="00297AC5" w:rsidRPr="009371D6">
        <w:rPr>
          <w:szCs w:val="20"/>
        </w:rPr>
        <w:t xml:space="preserve"> in June 2022</w:t>
      </w:r>
      <w:r w:rsidR="00253467" w:rsidRPr="009371D6">
        <w:rPr>
          <w:szCs w:val="20"/>
        </w:rPr>
        <w:t xml:space="preserve">, where red meat processors </w:t>
      </w:r>
      <w:r w:rsidR="00A85695">
        <w:rPr>
          <w:szCs w:val="20"/>
        </w:rPr>
        <w:t xml:space="preserve">and stakeholders </w:t>
      </w:r>
      <w:r w:rsidR="00297AC5" w:rsidRPr="009371D6">
        <w:rPr>
          <w:szCs w:val="20"/>
        </w:rPr>
        <w:t xml:space="preserve">engaged with </w:t>
      </w:r>
      <w:r w:rsidR="004B653F" w:rsidRPr="009371D6">
        <w:rPr>
          <w:szCs w:val="20"/>
        </w:rPr>
        <w:t>demonstrations from research and development providers, insights from other manufacturing industries on innovative WHS practices and procedures and roundtable discussions with AMPC to shape future investment</w:t>
      </w:r>
      <w:r w:rsidR="004B653F" w:rsidRPr="009371D6">
        <w:rPr>
          <w:rStyle w:val="FootnoteReference"/>
          <w:sz w:val="20"/>
          <w:szCs w:val="20"/>
        </w:rPr>
        <w:footnoteReference w:id="39"/>
      </w:r>
      <w:r w:rsidR="004B653F" w:rsidRPr="009371D6">
        <w:rPr>
          <w:szCs w:val="20"/>
        </w:rPr>
        <w:t>.</w:t>
      </w:r>
      <w:r w:rsidR="00297AC5" w:rsidRPr="009371D6">
        <w:rPr>
          <w:szCs w:val="20"/>
        </w:rPr>
        <w:t xml:space="preserve"> </w:t>
      </w:r>
    </w:p>
    <w:p w14:paraId="378B4E76" w14:textId="764DD50A" w:rsidR="0082672F" w:rsidRPr="009371D6" w:rsidRDefault="0082672F" w:rsidP="003C7994">
      <w:pPr>
        <w:rPr>
          <w:szCs w:val="20"/>
        </w:rPr>
      </w:pPr>
    </w:p>
    <w:p w14:paraId="048C06EA" w14:textId="38F7E0F8" w:rsidR="00885605" w:rsidRDefault="0082672F" w:rsidP="009E2799">
      <w:pPr>
        <w:rPr>
          <w:szCs w:val="20"/>
        </w:rPr>
      </w:pPr>
      <w:r w:rsidRPr="009371D6">
        <w:rPr>
          <w:szCs w:val="20"/>
        </w:rPr>
        <w:t>In addition to physical ha</w:t>
      </w:r>
      <w:r w:rsidR="00B06506" w:rsidRPr="009371D6">
        <w:rPr>
          <w:szCs w:val="20"/>
        </w:rPr>
        <w:t xml:space="preserve">zards, the meat processing industry is also recognising </w:t>
      </w:r>
      <w:r w:rsidR="000303E4" w:rsidRPr="009371D6">
        <w:rPr>
          <w:szCs w:val="20"/>
        </w:rPr>
        <w:t xml:space="preserve">that </w:t>
      </w:r>
      <w:r w:rsidR="00591CC2" w:rsidRPr="009371D6">
        <w:rPr>
          <w:szCs w:val="20"/>
        </w:rPr>
        <w:t xml:space="preserve">many in the workforce </w:t>
      </w:r>
      <w:r w:rsidR="00861511" w:rsidRPr="009371D6">
        <w:rPr>
          <w:szCs w:val="20"/>
        </w:rPr>
        <w:t xml:space="preserve">experience </w:t>
      </w:r>
      <w:r w:rsidR="000303E4" w:rsidRPr="009371D6">
        <w:rPr>
          <w:szCs w:val="20"/>
        </w:rPr>
        <w:t>mental health challenges</w:t>
      </w:r>
      <w:r w:rsidR="00591CC2" w:rsidRPr="009371D6">
        <w:rPr>
          <w:rStyle w:val="FootnoteReference"/>
          <w:sz w:val="20"/>
          <w:szCs w:val="20"/>
        </w:rPr>
        <w:footnoteReference w:id="40"/>
      </w:r>
      <w:r w:rsidR="000303E4" w:rsidRPr="009371D6">
        <w:rPr>
          <w:szCs w:val="20"/>
        </w:rPr>
        <w:t xml:space="preserve">. </w:t>
      </w:r>
      <w:r w:rsidR="00861511" w:rsidRPr="009371D6">
        <w:rPr>
          <w:szCs w:val="20"/>
        </w:rPr>
        <w:t xml:space="preserve">Various resources </w:t>
      </w:r>
      <w:r w:rsidR="00CB1DEC" w:rsidRPr="009371D6">
        <w:rPr>
          <w:szCs w:val="20"/>
        </w:rPr>
        <w:t xml:space="preserve">are </w:t>
      </w:r>
      <w:r w:rsidR="00E80411" w:rsidRPr="009371D6">
        <w:rPr>
          <w:szCs w:val="20"/>
        </w:rPr>
        <w:t>promoted</w:t>
      </w:r>
      <w:r w:rsidR="00CB1DEC" w:rsidRPr="009371D6">
        <w:rPr>
          <w:szCs w:val="20"/>
        </w:rPr>
        <w:t xml:space="preserve"> through </w:t>
      </w:r>
      <w:r w:rsidR="00E80411" w:rsidRPr="009371D6">
        <w:rPr>
          <w:szCs w:val="20"/>
        </w:rPr>
        <w:t>websites such as FarmHub</w:t>
      </w:r>
      <w:r w:rsidR="00E80411" w:rsidRPr="009371D6">
        <w:rPr>
          <w:rStyle w:val="FootnoteReference"/>
          <w:sz w:val="20"/>
          <w:szCs w:val="20"/>
        </w:rPr>
        <w:footnoteReference w:id="41"/>
      </w:r>
      <w:r w:rsidR="00993F17" w:rsidRPr="009371D6">
        <w:rPr>
          <w:szCs w:val="20"/>
        </w:rPr>
        <w:t xml:space="preserve">, and recognising the signs of </w:t>
      </w:r>
      <w:r w:rsidR="0094325E" w:rsidRPr="009371D6">
        <w:rPr>
          <w:szCs w:val="20"/>
        </w:rPr>
        <w:t xml:space="preserve">diminished wellbeing </w:t>
      </w:r>
      <w:r w:rsidR="00993F17" w:rsidRPr="009371D6">
        <w:rPr>
          <w:szCs w:val="20"/>
        </w:rPr>
        <w:t xml:space="preserve">is </w:t>
      </w:r>
      <w:r w:rsidR="0094325E" w:rsidRPr="009371D6">
        <w:rPr>
          <w:szCs w:val="20"/>
        </w:rPr>
        <w:t xml:space="preserve">being </w:t>
      </w:r>
      <w:r w:rsidR="00993F17" w:rsidRPr="009371D6">
        <w:rPr>
          <w:szCs w:val="20"/>
        </w:rPr>
        <w:t xml:space="preserve">highlighted as a </w:t>
      </w:r>
      <w:r w:rsidR="0094325E" w:rsidRPr="009371D6">
        <w:rPr>
          <w:szCs w:val="20"/>
        </w:rPr>
        <w:t xml:space="preserve">skill to be developed by meat processing supervisors. </w:t>
      </w:r>
    </w:p>
    <w:p w14:paraId="187E63C9" w14:textId="31029666" w:rsidR="00C6344A" w:rsidRDefault="00C6344A">
      <w:pPr>
        <w:widowControl/>
        <w:autoSpaceDE/>
        <w:autoSpaceDN/>
        <w:spacing w:after="160" w:line="259" w:lineRule="auto"/>
        <w:jc w:val="left"/>
        <w:rPr>
          <w:szCs w:val="20"/>
        </w:rPr>
      </w:pPr>
      <w:r>
        <w:rPr>
          <w:szCs w:val="20"/>
        </w:rPr>
        <w:br w:type="page"/>
      </w:r>
    </w:p>
    <w:p w14:paraId="44A983F1" w14:textId="4EBCD901" w:rsidR="00E35500" w:rsidRDefault="00E35500" w:rsidP="00E35500">
      <w:pPr>
        <w:pStyle w:val="Heading2"/>
      </w:pPr>
      <w:bookmarkStart w:id="40" w:name="_Toc115363704"/>
      <w:bookmarkEnd w:id="39"/>
      <w:r>
        <w:lastRenderedPageBreak/>
        <w:t>Industry Summary and Trends</w:t>
      </w:r>
      <w:bookmarkEnd w:id="40"/>
    </w:p>
    <w:p w14:paraId="3054365E" w14:textId="22384515" w:rsidR="00810FA7" w:rsidRDefault="00A271DF" w:rsidP="00810FA7">
      <w:pPr>
        <w:pStyle w:val="Heading3"/>
      </w:pPr>
      <w:bookmarkStart w:id="41" w:name="_Ref96683091"/>
      <w:bookmarkStart w:id="42" w:name="_Toc115363705"/>
      <w:r>
        <w:t>Workforce</w:t>
      </w:r>
      <w:r w:rsidR="009E2799">
        <w:t>, Business &amp; Market</w:t>
      </w:r>
      <w:r w:rsidR="00810FA7">
        <w:t xml:space="preserve"> Summary</w:t>
      </w:r>
      <w:bookmarkEnd w:id="41"/>
      <w:bookmarkEnd w:id="42"/>
    </w:p>
    <w:p w14:paraId="52401EE5" w14:textId="7B4C1222" w:rsidR="00877511" w:rsidRDefault="004D6451" w:rsidP="0026317A">
      <w:r w:rsidRPr="004D6451">
        <w:t xml:space="preserve">The </w:t>
      </w:r>
      <w:r w:rsidRPr="00F57C2F">
        <w:rPr>
          <w:rFonts w:eastAsia="Times New Roman"/>
          <w:color w:val="auto"/>
          <w:szCs w:val="20"/>
          <w:lang w:eastAsia="en-AU"/>
        </w:rPr>
        <w:t xml:space="preserve">Australian Meat </w:t>
      </w:r>
      <w:r>
        <w:rPr>
          <w:rFonts w:eastAsia="Times New Roman"/>
          <w:color w:val="auto"/>
          <w:szCs w:val="20"/>
          <w:lang w:eastAsia="en-AU"/>
        </w:rPr>
        <w:t>i</w:t>
      </w:r>
      <w:r w:rsidRPr="004D6451">
        <w:t>ndustr</w:t>
      </w:r>
      <w:r>
        <w:t>y</w:t>
      </w:r>
      <w:r w:rsidRPr="004D6451">
        <w:t xml:space="preserve"> account</w:t>
      </w:r>
      <w:r>
        <w:t>s</w:t>
      </w:r>
      <w:r w:rsidRPr="004D6451">
        <w:t xml:space="preserve"> for </w:t>
      </w:r>
      <w:r w:rsidR="004C2262">
        <w:t xml:space="preserve">almost 100,000 </w:t>
      </w:r>
      <w:r w:rsidRPr="004D6451">
        <w:t xml:space="preserve">employees and </w:t>
      </w:r>
      <w:r w:rsidR="004C2262">
        <w:t xml:space="preserve">over 6,400 </w:t>
      </w:r>
      <w:r w:rsidRPr="004D6451">
        <w:t>individual businesses</w:t>
      </w:r>
      <w:r w:rsidR="004C2262">
        <w:t xml:space="preserve">, which </w:t>
      </w:r>
      <w:r w:rsidRPr="004D6451">
        <w:t xml:space="preserve">operate and trade in locations spanning all states and territories and comprise a variety of small, medium and large enterprises. </w:t>
      </w:r>
      <w:r w:rsidR="008B6B3F">
        <w:t xml:space="preserve">Businesses </w:t>
      </w:r>
      <w:r w:rsidR="0026317A">
        <w:t>conduct activities in and for food services, abattoirs, meat retailing, boning rooms, meat safety, rendering, slaughtering, quality assurance, retail butchers, smallgoods</w:t>
      </w:r>
      <w:r w:rsidR="0006152B">
        <w:t xml:space="preserve">, </w:t>
      </w:r>
      <w:r w:rsidR="0026317A">
        <w:t>livestock handling</w:t>
      </w:r>
      <w:r w:rsidR="0006152B">
        <w:t xml:space="preserve">, </w:t>
      </w:r>
      <w:r w:rsidR="0026317A">
        <w:t>packing operations</w:t>
      </w:r>
      <w:r w:rsidR="0006152B">
        <w:t>, l</w:t>
      </w:r>
      <w:r w:rsidR="0026317A">
        <w:t>eadership</w:t>
      </w:r>
      <w:r w:rsidR="0006152B">
        <w:t xml:space="preserve"> and </w:t>
      </w:r>
      <w:r w:rsidR="0026317A">
        <w:t>agribusiness</w:t>
      </w:r>
      <w:r w:rsidR="0006152B">
        <w:t>.</w:t>
      </w:r>
    </w:p>
    <w:p w14:paraId="21D59A6B" w14:textId="77777777" w:rsidR="004D6451" w:rsidRDefault="004D6451" w:rsidP="00877511"/>
    <w:p w14:paraId="47D3D44B" w14:textId="1B003189" w:rsidR="00877511" w:rsidRPr="00877511" w:rsidRDefault="00877511" w:rsidP="00877511">
      <w:r>
        <w:t xml:space="preserve">Overall, the </w:t>
      </w:r>
      <w:r w:rsidRPr="00F57C2F">
        <w:rPr>
          <w:rFonts w:eastAsia="Times New Roman"/>
          <w:color w:val="auto"/>
          <w:szCs w:val="20"/>
          <w:lang w:eastAsia="en-AU"/>
        </w:rPr>
        <w:t xml:space="preserve">Australian Meat Processing </w:t>
      </w:r>
      <w:r>
        <w:rPr>
          <w:rFonts w:eastAsia="Times New Roman"/>
          <w:color w:val="auto"/>
          <w:szCs w:val="20"/>
          <w:lang w:eastAsia="en-AU"/>
        </w:rPr>
        <w:t>i</w:t>
      </w:r>
      <w:r>
        <w:t>ndustry have a total revenue of over $52 billion and contributed almost $8 billion to overall GDP (industry value added).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E94105" w14:paraId="386D90E1" w14:textId="77777777" w:rsidTr="00653457">
        <w:tc>
          <w:tcPr>
            <w:tcW w:w="9350" w:type="dxa"/>
          </w:tcPr>
          <w:p w14:paraId="6393CEB3" w14:textId="45A7BCCB" w:rsidR="00E94105" w:rsidRDefault="005A5E95" w:rsidP="00A961AF">
            <w:pPr>
              <w:pStyle w:val="TableTitle"/>
            </w:pPr>
            <w:r>
              <w:t xml:space="preserve">Table </w:t>
            </w:r>
            <w:r w:rsidR="0069100F">
              <w:fldChar w:fldCharType="begin"/>
            </w:r>
            <w:r w:rsidR="0069100F">
              <w:instrText xml:space="preserve"> SEQ Table \* ARABIC </w:instrText>
            </w:r>
            <w:r w:rsidR="0069100F">
              <w:fldChar w:fldCharType="separate"/>
            </w:r>
            <w:r w:rsidR="00C6344A">
              <w:rPr>
                <w:noProof/>
              </w:rPr>
              <w:t>2</w:t>
            </w:r>
            <w:r w:rsidR="0069100F">
              <w:rPr>
                <w:noProof/>
              </w:rPr>
              <w:fldChar w:fldCharType="end"/>
            </w:r>
            <w:r>
              <w:t xml:space="preserve">: </w:t>
            </w:r>
            <w:r w:rsidR="00297DA5">
              <w:t xml:space="preserve">Industry </w:t>
            </w:r>
            <w:r w:rsidR="00DB046F">
              <w:t>b</w:t>
            </w:r>
            <w:r w:rsidR="00297DA5">
              <w:t xml:space="preserve">usinesses </w:t>
            </w:r>
            <w:r w:rsidR="00DB046F">
              <w:t>and e</w:t>
            </w:r>
            <w:r w:rsidR="00297DA5">
              <w:t>mployment</w:t>
            </w:r>
          </w:p>
        </w:tc>
      </w:tr>
      <w:tr w:rsidR="00E94105" w14:paraId="047F8CBD" w14:textId="77777777" w:rsidTr="00653457">
        <w:tc>
          <w:tcPr>
            <w:tcW w:w="9350" w:type="dxa"/>
          </w:tcPr>
          <w:tbl>
            <w:tblPr>
              <w:tblW w:w="9183" w:type="dxa"/>
              <w:tblLayout w:type="fixed"/>
              <w:tblLook w:val="04A0" w:firstRow="1" w:lastRow="0" w:firstColumn="1" w:lastColumn="0" w:noHBand="0" w:noVBand="1"/>
            </w:tblPr>
            <w:tblGrid>
              <w:gridCol w:w="3284"/>
              <w:gridCol w:w="1418"/>
              <w:gridCol w:w="1417"/>
              <w:gridCol w:w="1560"/>
              <w:gridCol w:w="1504"/>
            </w:tblGrid>
            <w:tr w:rsidR="0006469D" w:rsidRPr="00F57C2F" w14:paraId="0800CF5D" w14:textId="1DC73CC0" w:rsidTr="004C2262">
              <w:trPr>
                <w:trHeight w:val="327"/>
              </w:trPr>
              <w:tc>
                <w:tcPr>
                  <w:tcW w:w="3284" w:type="dxa"/>
                  <w:tcBorders>
                    <w:top w:val="single" w:sz="4" w:space="0" w:color="auto"/>
                    <w:left w:val="single" w:sz="4" w:space="0" w:color="auto"/>
                    <w:bottom w:val="single" w:sz="4" w:space="0" w:color="auto"/>
                    <w:right w:val="single" w:sz="4" w:space="0" w:color="auto"/>
                  </w:tcBorders>
                  <w:shd w:val="clear" w:color="000000" w:fill="00843D"/>
                  <w:vAlign w:val="center"/>
                  <w:hideMark/>
                </w:tcPr>
                <w:p w14:paraId="6F7DFD4A" w14:textId="77777777" w:rsidR="0006469D" w:rsidRPr="00F57C2F" w:rsidRDefault="0006469D" w:rsidP="00A961AF">
                  <w:pPr>
                    <w:keepNext/>
                    <w:keepLines/>
                    <w:widowControl/>
                    <w:autoSpaceDE/>
                    <w:autoSpaceDN/>
                    <w:jc w:val="left"/>
                    <w:rPr>
                      <w:rFonts w:eastAsia="Times New Roman"/>
                      <w:b/>
                      <w:bCs/>
                      <w:color w:val="FFFFFF"/>
                      <w:szCs w:val="20"/>
                      <w:lang w:eastAsia="en-AU"/>
                    </w:rPr>
                  </w:pPr>
                  <w:r w:rsidRPr="00F57C2F">
                    <w:rPr>
                      <w:rFonts w:eastAsia="Times New Roman"/>
                      <w:b/>
                      <w:bCs/>
                      <w:color w:val="FFFFFF"/>
                      <w:szCs w:val="20"/>
                      <w:lang w:eastAsia="en-AU"/>
                    </w:rPr>
                    <w:t>Training Package-Related Industries</w:t>
                  </w:r>
                </w:p>
              </w:tc>
              <w:tc>
                <w:tcPr>
                  <w:tcW w:w="1418" w:type="dxa"/>
                  <w:tcBorders>
                    <w:top w:val="single" w:sz="4" w:space="0" w:color="auto"/>
                    <w:left w:val="nil"/>
                    <w:bottom w:val="single" w:sz="4" w:space="0" w:color="auto"/>
                    <w:right w:val="single" w:sz="4" w:space="0" w:color="auto"/>
                  </w:tcBorders>
                  <w:shd w:val="clear" w:color="000000" w:fill="00843D"/>
                  <w:vAlign w:val="center"/>
                  <w:hideMark/>
                </w:tcPr>
                <w:p w14:paraId="5306CABE" w14:textId="7BA91A9F" w:rsidR="0006469D" w:rsidRPr="00F57C2F" w:rsidRDefault="0006469D" w:rsidP="00A961AF">
                  <w:pPr>
                    <w:keepNext/>
                    <w:keepLines/>
                    <w:widowControl/>
                    <w:autoSpaceDE/>
                    <w:autoSpaceDN/>
                    <w:jc w:val="left"/>
                    <w:rPr>
                      <w:rFonts w:eastAsia="Times New Roman"/>
                      <w:b/>
                      <w:bCs/>
                      <w:color w:val="FFFFFF"/>
                      <w:szCs w:val="20"/>
                      <w:lang w:eastAsia="en-AU"/>
                    </w:rPr>
                  </w:pPr>
                  <w:r>
                    <w:rPr>
                      <w:rFonts w:eastAsia="Times New Roman"/>
                      <w:b/>
                      <w:bCs/>
                      <w:color w:val="FFFFFF"/>
                      <w:szCs w:val="20"/>
                      <w:lang w:eastAsia="en-AU"/>
                    </w:rPr>
                    <w:t>Businesses</w:t>
                  </w:r>
                </w:p>
              </w:tc>
              <w:tc>
                <w:tcPr>
                  <w:tcW w:w="1417" w:type="dxa"/>
                  <w:tcBorders>
                    <w:top w:val="single" w:sz="4" w:space="0" w:color="auto"/>
                    <w:left w:val="nil"/>
                    <w:bottom w:val="single" w:sz="4" w:space="0" w:color="auto"/>
                    <w:right w:val="single" w:sz="4" w:space="0" w:color="auto"/>
                  </w:tcBorders>
                  <w:shd w:val="clear" w:color="000000" w:fill="00843D"/>
                  <w:vAlign w:val="center"/>
                  <w:hideMark/>
                </w:tcPr>
                <w:p w14:paraId="469CCA11" w14:textId="77777777" w:rsidR="0006469D" w:rsidRPr="00F57C2F" w:rsidRDefault="0006469D" w:rsidP="00A961AF">
                  <w:pPr>
                    <w:keepNext/>
                    <w:keepLines/>
                    <w:widowControl/>
                    <w:autoSpaceDE/>
                    <w:autoSpaceDN/>
                    <w:jc w:val="left"/>
                    <w:rPr>
                      <w:rFonts w:eastAsia="Times New Roman"/>
                      <w:b/>
                      <w:bCs/>
                      <w:color w:val="FFFFFF"/>
                      <w:szCs w:val="20"/>
                      <w:lang w:eastAsia="en-AU"/>
                    </w:rPr>
                  </w:pPr>
                  <w:r w:rsidRPr="00F57C2F">
                    <w:rPr>
                      <w:rFonts w:eastAsia="Times New Roman"/>
                      <w:b/>
                      <w:bCs/>
                      <w:color w:val="FFFFFF"/>
                      <w:szCs w:val="20"/>
                      <w:lang w:eastAsia="en-AU"/>
                    </w:rPr>
                    <w:t>Employment</w:t>
                  </w:r>
                </w:p>
              </w:tc>
              <w:tc>
                <w:tcPr>
                  <w:tcW w:w="1560" w:type="dxa"/>
                  <w:tcBorders>
                    <w:top w:val="single" w:sz="4" w:space="0" w:color="auto"/>
                    <w:left w:val="nil"/>
                    <w:bottom w:val="single" w:sz="4" w:space="0" w:color="auto"/>
                    <w:right w:val="single" w:sz="4" w:space="0" w:color="auto"/>
                  </w:tcBorders>
                  <w:shd w:val="clear" w:color="000000" w:fill="00843D"/>
                  <w:vAlign w:val="center"/>
                </w:tcPr>
                <w:p w14:paraId="7F726524" w14:textId="7F89F721" w:rsidR="0006469D" w:rsidRPr="00F57C2F" w:rsidRDefault="0006469D" w:rsidP="00A961AF">
                  <w:pPr>
                    <w:keepNext/>
                    <w:keepLines/>
                    <w:widowControl/>
                    <w:autoSpaceDE/>
                    <w:autoSpaceDN/>
                    <w:jc w:val="left"/>
                    <w:rPr>
                      <w:rFonts w:eastAsia="Times New Roman"/>
                      <w:b/>
                      <w:bCs/>
                      <w:color w:val="FFFFFF"/>
                      <w:szCs w:val="20"/>
                      <w:lang w:eastAsia="en-AU"/>
                    </w:rPr>
                  </w:pPr>
                  <w:r w:rsidRPr="00BF47C1">
                    <w:rPr>
                      <w:rFonts w:eastAsia="Times New Roman"/>
                      <w:b/>
                      <w:bCs/>
                      <w:color w:val="FFFFFF"/>
                      <w:szCs w:val="20"/>
                      <w:lang w:eastAsia="en-AU"/>
                    </w:rPr>
                    <w:t>Revenue ($billion)</w:t>
                  </w:r>
                </w:p>
              </w:tc>
              <w:tc>
                <w:tcPr>
                  <w:tcW w:w="1504" w:type="dxa"/>
                  <w:tcBorders>
                    <w:top w:val="single" w:sz="4" w:space="0" w:color="auto"/>
                    <w:left w:val="nil"/>
                    <w:bottom w:val="single" w:sz="4" w:space="0" w:color="auto"/>
                    <w:right w:val="single" w:sz="4" w:space="0" w:color="auto"/>
                  </w:tcBorders>
                  <w:shd w:val="clear" w:color="000000" w:fill="00843D"/>
                  <w:vAlign w:val="center"/>
                </w:tcPr>
                <w:p w14:paraId="629F1CA6" w14:textId="6ADA9AE8" w:rsidR="0006469D" w:rsidRPr="00F57C2F" w:rsidRDefault="0006469D" w:rsidP="00A961AF">
                  <w:pPr>
                    <w:keepNext/>
                    <w:keepLines/>
                    <w:widowControl/>
                    <w:autoSpaceDE/>
                    <w:autoSpaceDN/>
                    <w:jc w:val="left"/>
                    <w:rPr>
                      <w:rFonts w:eastAsia="Times New Roman"/>
                      <w:b/>
                      <w:bCs/>
                      <w:color w:val="FFFFFF"/>
                      <w:szCs w:val="20"/>
                      <w:lang w:eastAsia="en-AU"/>
                    </w:rPr>
                  </w:pPr>
                  <w:r w:rsidRPr="00BF47C1">
                    <w:rPr>
                      <w:rFonts w:eastAsia="Times New Roman"/>
                      <w:b/>
                      <w:bCs/>
                      <w:color w:val="FFFFFF"/>
                      <w:szCs w:val="20"/>
                      <w:lang w:eastAsia="en-AU"/>
                    </w:rPr>
                    <w:t>Industry Value Added ($billion)</w:t>
                  </w:r>
                </w:p>
              </w:tc>
            </w:tr>
            <w:tr w:rsidR="0006469D" w:rsidRPr="00F57C2F" w14:paraId="4504C62F" w14:textId="625F8C3D" w:rsidTr="004C2262">
              <w:trPr>
                <w:trHeight w:val="496"/>
              </w:trPr>
              <w:tc>
                <w:tcPr>
                  <w:tcW w:w="3284" w:type="dxa"/>
                  <w:tcBorders>
                    <w:top w:val="nil"/>
                    <w:left w:val="single" w:sz="4" w:space="0" w:color="auto"/>
                    <w:bottom w:val="single" w:sz="4" w:space="0" w:color="auto"/>
                    <w:right w:val="single" w:sz="4" w:space="0" w:color="auto"/>
                  </w:tcBorders>
                  <w:shd w:val="clear" w:color="auto" w:fill="auto"/>
                  <w:noWrap/>
                  <w:vAlign w:val="center"/>
                </w:tcPr>
                <w:p w14:paraId="43CB7402" w14:textId="778215FA" w:rsidR="0006469D" w:rsidRPr="00F57C2F" w:rsidRDefault="0006469D" w:rsidP="00A961AF">
                  <w:pPr>
                    <w:keepNext/>
                    <w:keepLines/>
                    <w:widowControl/>
                    <w:autoSpaceDE/>
                    <w:autoSpaceDN/>
                    <w:jc w:val="left"/>
                    <w:rPr>
                      <w:rFonts w:eastAsia="Times New Roman"/>
                      <w:color w:val="auto"/>
                      <w:szCs w:val="20"/>
                      <w:lang w:eastAsia="en-AU"/>
                    </w:rPr>
                  </w:pPr>
                  <w:r w:rsidRPr="00F57C2F">
                    <w:rPr>
                      <w:rFonts w:eastAsia="Times New Roman"/>
                      <w:color w:val="auto"/>
                      <w:szCs w:val="20"/>
                      <w:lang w:eastAsia="en-AU"/>
                    </w:rPr>
                    <w:t>Australian Meat Processing (AMP)</w:t>
                  </w:r>
                </w:p>
              </w:tc>
              <w:tc>
                <w:tcPr>
                  <w:tcW w:w="1418" w:type="dxa"/>
                  <w:tcBorders>
                    <w:top w:val="nil"/>
                    <w:left w:val="nil"/>
                    <w:bottom w:val="single" w:sz="4" w:space="0" w:color="auto"/>
                    <w:right w:val="single" w:sz="4" w:space="0" w:color="auto"/>
                  </w:tcBorders>
                  <w:shd w:val="clear" w:color="auto" w:fill="auto"/>
                  <w:noWrap/>
                  <w:vAlign w:val="center"/>
                </w:tcPr>
                <w:p w14:paraId="5CECB9FC" w14:textId="54921420" w:rsidR="0006469D" w:rsidRPr="00F57C2F" w:rsidRDefault="0006469D" w:rsidP="00A961AF">
                  <w:pPr>
                    <w:keepNext/>
                    <w:keepLines/>
                    <w:widowControl/>
                    <w:autoSpaceDE/>
                    <w:autoSpaceDN/>
                    <w:jc w:val="right"/>
                    <w:rPr>
                      <w:rFonts w:eastAsia="Times New Roman"/>
                      <w:color w:val="000000"/>
                      <w:szCs w:val="20"/>
                      <w:lang w:eastAsia="en-AU"/>
                    </w:rPr>
                  </w:pPr>
                  <w:r w:rsidRPr="00F57C2F">
                    <w:rPr>
                      <w:rFonts w:eastAsia="Times New Roman"/>
                      <w:color w:val="000000"/>
                      <w:szCs w:val="20"/>
                      <w:lang w:eastAsia="en-AU"/>
                    </w:rPr>
                    <w:t>6,409</w:t>
                  </w:r>
                </w:p>
              </w:tc>
              <w:tc>
                <w:tcPr>
                  <w:tcW w:w="1417" w:type="dxa"/>
                  <w:tcBorders>
                    <w:top w:val="nil"/>
                    <w:left w:val="nil"/>
                    <w:bottom w:val="single" w:sz="4" w:space="0" w:color="auto"/>
                    <w:right w:val="single" w:sz="4" w:space="0" w:color="auto"/>
                  </w:tcBorders>
                  <w:shd w:val="clear" w:color="auto" w:fill="auto"/>
                  <w:noWrap/>
                  <w:vAlign w:val="center"/>
                </w:tcPr>
                <w:p w14:paraId="00A7EB91" w14:textId="031AF6A8" w:rsidR="0006469D" w:rsidRPr="00F57C2F" w:rsidRDefault="0006469D" w:rsidP="00A961AF">
                  <w:pPr>
                    <w:keepNext/>
                    <w:keepLines/>
                    <w:widowControl/>
                    <w:autoSpaceDE/>
                    <w:autoSpaceDN/>
                    <w:jc w:val="right"/>
                    <w:rPr>
                      <w:rFonts w:eastAsia="Times New Roman"/>
                      <w:color w:val="000000"/>
                      <w:szCs w:val="20"/>
                      <w:lang w:eastAsia="en-AU"/>
                    </w:rPr>
                  </w:pPr>
                  <w:r w:rsidRPr="00F57C2F">
                    <w:rPr>
                      <w:rFonts w:eastAsia="Times New Roman"/>
                      <w:color w:val="000000"/>
                      <w:szCs w:val="20"/>
                      <w:lang w:eastAsia="en-AU"/>
                    </w:rPr>
                    <w:t>98,343</w:t>
                  </w:r>
                </w:p>
              </w:tc>
              <w:tc>
                <w:tcPr>
                  <w:tcW w:w="1560" w:type="dxa"/>
                  <w:tcBorders>
                    <w:top w:val="nil"/>
                    <w:left w:val="nil"/>
                    <w:bottom w:val="single" w:sz="4" w:space="0" w:color="auto"/>
                    <w:right w:val="single" w:sz="4" w:space="0" w:color="auto"/>
                  </w:tcBorders>
                  <w:vAlign w:val="center"/>
                </w:tcPr>
                <w:p w14:paraId="0693F9D9" w14:textId="5CFB3A17" w:rsidR="0006469D" w:rsidRPr="00F57C2F" w:rsidRDefault="0006469D" w:rsidP="00A961AF">
                  <w:pPr>
                    <w:keepNext/>
                    <w:keepLines/>
                    <w:widowControl/>
                    <w:autoSpaceDE/>
                    <w:autoSpaceDN/>
                    <w:jc w:val="right"/>
                    <w:rPr>
                      <w:rFonts w:eastAsia="Times New Roman"/>
                      <w:color w:val="000000"/>
                      <w:szCs w:val="20"/>
                      <w:lang w:eastAsia="en-AU"/>
                    </w:rPr>
                  </w:pPr>
                  <w:r w:rsidRPr="00BF47C1">
                    <w:rPr>
                      <w:rFonts w:eastAsia="Times New Roman"/>
                      <w:color w:val="000000"/>
                      <w:szCs w:val="20"/>
                      <w:lang w:eastAsia="en-AU"/>
                    </w:rPr>
                    <w:t>$52.22</w:t>
                  </w:r>
                </w:p>
              </w:tc>
              <w:tc>
                <w:tcPr>
                  <w:tcW w:w="1504" w:type="dxa"/>
                  <w:tcBorders>
                    <w:top w:val="nil"/>
                    <w:left w:val="nil"/>
                    <w:bottom w:val="single" w:sz="4" w:space="0" w:color="auto"/>
                    <w:right w:val="single" w:sz="4" w:space="0" w:color="auto"/>
                  </w:tcBorders>
                  <w:vAlign w:val="center"/>
                </w:tcPr>
                <w:p w14:paraId="75E4ACB5" w14:textId="2CF074C0" w:rsidR="0006469D" w:rsidRPr="00F57C2F" w:rsidRDefault="0006469D" w:rsidP="00A961AF">
                  <w:pPr>
                    <w:keepNext/>
                    <w:keepLines/>
                    <w:widowControl/>
                    <w:autoSpaceDE/>
                    <w:autoSpaceDN/>
                    <w:jc w:val="right"/>
                    <w:rPr>
                      <w:rFonts w:eastAsia="Times New Roman"/>
                      <w:color w:val="000000"/>
                      <w:szCs w:val="20"/>
                      <w:lang w:eastAsia="en-AU"/>
                    </w:rPr>
                  </w:pPr>
                  <w:r w:rsidRPr="00BF47C1">
                    <w:rPr>
                      <w:rFonts w:eastAsia="Times New Roman"/>
                      <w:color w:val="000000"/>
                      <w:szCs w:val="20"/>
                      <w:lang w:eastAsia="en-AU"/>
                    </w:rPr>
                    <w:t>$7.94</w:t>
                  </w:r>
                </w:p>
              </w:tc>
            </w:tr>
          </w:tbl>
          <w:p w14:paraId="5E5BD823" w14:textId="17C1BC3D" w:rsidR="00E94105" w:rsidRDefault="00E94105" w:rsidP="00A961AF">
            <w:pPr>
              <w:pStyle w:val="TableInside"/>
              <w:spacing w:beforeLines="40" w:before="96" w:afterLines="40" w:after="96"/>
            </w:pPr>
          </w:p>
        </w:tc>
      </w:tr>
      <w:tr w:rsidR="00E94105" w14:paraId="33A0C9F1" w14:textId="77777777" w:rsidTr="00653457">
        <w:tc>
          <w:tcPr>
            <w:tcW w:w="9350" w:type="dxa"/>
          </w:tcPr>
          <w:p w14:paraId="2C46CFDB" w14:textId="6B9B8CEB" w:rsidR="00E94105" w:rsidRDefault="00E94105" w:rsidP="00141BE6">
            <w:pPr>
              <w:pStyle w:val="TableSource"/>
            </w:pPr>
            <w:r w:rsidRPr="008E15AE">
              <w:t>Source: IBISWorld Industry Wizard</w:t>
            </w:r>
          </w:p>
        </w:tc>
      </w:tr>
    </w:tbl>
    <w:p w14:paraId="1129BE2C" w14:textId="1A0BD2D4" w:rsidR="00FC0356" w:rsidRPr="009371D6" w:rsidRDefault="00FC0356" w:rsidP="00FC0356">
      <w:pPr>
        <w:rPr>
          <w:szCs w:val="20"/>
        </w:rPr>
      </w:pPr>
      <w:r w:rsidRPr="009371D6">
        <w:rPr>
          <w:szCs w:val="20"/>
        </w:rPr>
        <w:t>The significance of the</w:t>
      </w:r>
      <w:r w:rsidR="000351D6" w:rsidRPr="009371D6">
        <w:rPr>
          <w:szCs w:val="20"/>
        </w:rPr>
        <w:t xml:space="preserve"> meat processing</w:t>
      </w:r>
      <w:r w:rsidRPr="009371D6">
        <w:rPr>
          <w:szCs w:val="20"/>
        </w:rPr>
        <w:t xml:space="preserve"> indust</w:t>
      </w:r>
      <w:r w:rsidR="00477CFB" w:rsidRPr="009371D6">
        <w:rPr>
          <w:szCs w:val="20"/>
        </w:rPr>
        <w:t>ry</w:t>
      </w:r>
      <w:r w:rsidRPr="009371D6">
        <w:rPr>
          <w:szCs w:val="20"/>
        </w:rPr>
        <w:t xml:space="preserve"> has been underlined by the COVID-19 pandemic. The increased demand for </w:t>
      </w:r>
      <w:r w:rsidR="000351D6" w:rsidRPr="009371D6">
        <w:rPr>
          <w:szCs w:val="20"/>
        </w:rPr>
        <w:t xml:space="preserve">meat </w:t>
      </w:r>
      <w:r w:rsidRPr="009371D6">
        <w:rPr>
          <w:szCs w:val="20"/>
        </w:rPr>
        <w:t xml:space="preserve">products meant this industry was classified as ‘essential’ and remained in operation </w:t>
      </w:r>
      <w:r w:rsidR="004B4019" w:rsidRPr="009371D6">
        <w:rPr>
          <w:szCs w:val="20"/>
        </w:rPr>
        <w:t>during</w:t>
      </w:r>
      <w:r w:rsidRPr="009371D6">
        <w:rPr>
          <w:szCs w:val="20"/>
        </w:rPr>
        <w:t xml:space="preserve"> </w:t>
      </w:r>
      <w:r w:rsidR="004B4019" w:rsidRPr="009371D6">
        <w:rPr>
          <w:szCs w:val="20"/>
        </w:rPr>
        <w:t xml:space="preserve">state-based </w:t>
      </w:r>
      <w:r w:rsidRPr="009371D6">
        <w:rPr>
          <w:szCs w:val="20"/>
        </w:rPr>
        <w:t>pandemic</w:t>
      </w:r>
      <w:r w:rsidR="004B4019" w:rsidRPr="009371D6">
        <w:rPr>
          <w:szCs w:val="20"/>
        </w:rPr>
        <w:t>-related restrictions</w:t>
      </w:r>
      <w:r w:rsidRPr="009371D6">
        <w:rPr>
          <w:szCs w:val="20"/>
        </w:rPr>
        <w:t>.</w:t>
      </w:r>
      <w:r w:rsidR="00EB2A15" w:rsidRPr="009371D6">
        <w:rPr>
          <w:szCs w:val="20"/>
        </w:rPr>
        <w:t xml:space="preserve"> Notwithstanding </w:t>
      </w:r>
      <w:r w:rsidR="00895AFB" w:rsidRPr="009371D6">
        <w:rPr>
          <w:szCs w:val="20"/>
        </w:rPr>
        <w:t>the various challenges associated with</w:t>
      </w:r>
      <w:r w:rsidRPr="009371D6">
        <w:rPr>
          <w:szCs w:val="20"/>
        </w:rPr>
        <w:t xml:space="preserve"> disrupted supply chains</w:t>
      </w:r>
      <w:r w:rsidR="00026430" w:rsidRPr="009371D6">
        <w:rPr>
          <w:szCs w:val="20"/>
        </w:rPr>
        <w:t>, shipping</w:t>
      </w:r>
      <w:r w:rsidRPr="009371D6">
        <w:rPr>
          <w:szCs w:val="20"/>
        </w:rPr>
        <w:t xml:space="preserve"> and </w:t>
      </w:r>
      <w:r w:rsidR="00C7656A" w:rsidRPr="009371D6">
        <w:rPr>
          <w:szCs w:val="20"/>
        </w:rPr>
        <w:t xml:space="preserve">workforce availability (as in all industries) the meat processing industry </w:t>
      </w:r>
      <w:r w:rsidR="004A3559" w:rsidRPr="009371D6">
        <w:rPr>
          <w:szCs w:val="20"/>
        </w:rPr>
        <w:t xml:space="preserve">has implemented </w:t>
      </w:r>
      <w:r w:rsidRPr="009371D6">
        <w:rPr>
          <w:szCs w:val="20"/>
        </w:rPr>
        <w:t>robust adaptations</w:t>
      </w:r>
      <w:r w:rsidR="004A3559" w:rsidRPr="009371D6">
        <w:rPr>
          <w:szCs w:val="20"/>
        </w:rPr>
        <w:t xml:space="preserve"> and</w:t>
      </w:r>
      <w:r w:rsidRPr="009371D6">
        <w:rPr>
          <w:szCs w:val="20"/>
        </w:rPr>
        <w:t xml:space="preserve"> innovations</w:t>
      </w:r>
      <w:r w:rsidR="004A3559" w:rsidRPr="009371D6">
        <w:rPr>
          <w:szCs w:val="20"/>
        </w:rPr>
        <w:t xml:space="preserve"> to continue to mee</w:t>
      </w:r>
      <w:r w:rsidR="008254C3" w:rsidRPr="009371D6">
        <w:rPr>
          <w:szCs w:val="20"/>
        </w:rPr>
        <w:t>t</w:t>
      </w:r>
      <w:r w:rsidR="004A3559" w:rsidRPr="009371D6">
        <w:rPr>
          <w:szCs w:val="20"/>
        </w:rPr>
        <w:t xml:space="preserve"> demand.</w:t>
      </w:r>
    </w:p>
    <w:p w14:paraId="36C30727" w14:textId="72F62627" w:rsidR="008254C3" w:rsidRPr="009371D6" w:rsidRDefault="008254C3" w:rsidP="00FC0356">
      <w:pPr>
        <w:rPr>
          <w:szCs w:val="20"/>
        </w:rPr>
      </w:pPr>
    </w:p>
    <w:p w14:paraId="148E91BF" w14:textId="71043A00" w:rsidR="00964A25" w:rsidRPr="009371D6" w:rsidRDefault="006F387F" w:rsidP="00B30DE1">
      <w:pPr>
        <w:rPr>
          <w:szCs w:val="20"/>
        </w:rPr>
      </w:pPr>
      <w:r w:rsidRPr="009371D6">
        <w:rPr>
          <w:szCs w:val="20"/>
        </w:rPr>
        <w:t>Australian meat processors export over 65% of production by value</w:t>
      </w:r>
      <w:r w:rsidR="00A86AED" w:rsidRPr="009371D6">
        <w:rPr>
          <w:rStyle w:val="FootnoteReference"/>
          <w:sz w:val="20"/>
          <w:szCs w:val="20"/>
        </w:rPr>
        <w:footnoteReference w:id="42"/>
      </w:r>
      <w:r w:rsidRPr="009371D6">
        <w:rPr>
          <w:szCs w:val="20"/>
        </w:rPr>
        <w:t xml:space="preserve">. </w:t>
      </w:r>
      <w:r w:rsidR="00753833" w:rsidRPr="009371D6">
        <w:rPr>
          <w:szCs w:val="20"/>
        </w:rPr>
        <w:t>Despite volatility associated with the Chinese market</w:t>
      </w:r>
      <w:r w:rsidR="00854ABD" w:rsidRPr="009371D6">
        <w:rPr>
          <w:szCs w:val="20"/>
        </w:rPr>
        <w:t xml:space="preserve"> and COVID-19</w:t>
      </w:r>
      <w:r w:rsidR="00753833" w:rsidRPr="009371D6">
        <w:rPr>
          <w:szCs w:val="20"/>
        </w:rPr>
        <w:t>,</w:t>
      </w:r>
      <w:r w:rsidR="00A0735D" w:rsidRPr="009371D6">
        <w:rPr>
          <w:szCs w:val="20"/>
        </w:rPr>
        <w:t xml:space="preserve"> revenue from meat exports </w:t>
      </w:r>
      <w:r w:rsidR="00CA1250" w:rsidRPr="009371D6">
        <w:rPr>
          <w:szCs w:val="20"/>
        </w:rPr>
        <w:t>has remained at a consistently high level over the past few years</w:t>
      </w:r>
      <w:r w:rsidR="00E243C8" w:rsidRPr="009371D6">
        <w:rPr>
          <w:rStyle w:val="FootnoteReference"/>
          <w:sz w:val="20"/>
          <w:szCs w:val="20"/>
        </w:rPr>
        <w:footnoteReference w:id="43"/>
      </w:r>
      <w:r w:rsidR="00753833" w:rsidRPr="009371D6">
        <w:rPr>
          <w:szCs w:val="20"/>
        </w:rPr>
        <w:t>.</w:t>
      </w:r>
      <w:r w:rsidR="00E243C8" w:rsidRPr="009371D6">
        <w:rPr>
          <w:szCs w:val="20"/>
        </w:rPr>
        <w:t xml:space="preserve"> </w:t>
      </w:r>
      <w:r w:rsidR="004608D5" w:rsidRPr="009371D6">
        <w:rPr>
          <w:szCs w:val="20"/>
        </w:rPr>
        <w:t>H</w:t>
      </w:r>
      <w:r w:rsidR="00E243C8" w:rsidRPr="009371D6">
        <w:rPr>
          <w:szCs w:val="20"/>
        </w:rPr>
        <w:t xml:space="preserve">owever, </w:t>
      </w:r>
      <w:r w:rsidR="00BD4D6D" w:rsidRPr="009371D6">
        <w:rPr>
          <w:szCs w:val="20"/>
        </w:rPr>
        <w:t>food prices are rising across the world</w:t>
      </w:r>
      <w:r w:rsidR="00427618" w:rsidRPr="009371D6">
        <w:rPr>
          <w:szCs w:val="20"/>
        </w:rPr>
        <w:t>, in part due to t</w:t>
      </w:r>
      <w:r w:rsidR="00BD4D6D" w:rsidRPr="009371D6">
        <w:rPr>
          <w:szCs w:val="20"/>
        </w:rPr>
        <w:t>he Russian invasion of Ukraine</w:t>
      </w:r>
      <w:r w:rsidR="00427618" w:rsidRPr="009371D6">
        <w:rPr>
          <w:szCs w:val="20"/>
        </w:rPr>
        <w:t xml:space="preserve">, which has </w:t>
      </w:r>
      <w:r w:rsidR="008178D2" w:rsidRPr="009371D6">
        <w:rPr>
          <w:szCs w:val="20"/>
        </w:rPr>
        <w:t xml:space="preserve">created </w:t>
      </w:r>
      <w:r w:rsidR="00BD4D6D" w:rsidRPr="009371D6">
        <w:rPr>
          <w:szCs w:val="20"/>
        </w:rPr>
        <w:t>additional pressure</w:t>
      </w:r>
      <w:r w:rsidR="008178D2" w:rsidRPr="009371D6">
        <w:rPr>
          <w:szCs w:val="20"/>
        </w:rPr>
        <w:t>s</w:t>
      </w:r>
      <w:r w:rsidR="00BD4D6D" w:rsidRPr="009371D6">
        <w:rPr>
          <w:szCs w:val="20"/>
        </w:rPr>
        <w:t xml:space="preserve"> </w:t>
      </w:r>
      <w:r w:rsidR="008178D2" w:rsidRPr="009371D6">
        <w:rPr>
          <w:szCs w:val="20"/>
        </w:rPr>
        <w:t xml:space="preserve">for meat-producing value chains </w:t>
      </w:r>
      <w:r w:rsidR="007679A5" w:rsidRPr="009371D6">
        <w:rPr>
          <w:szCs w:val="20"/>
        </w:rPr>
        <w:t xml:space="preserve">through </w:t>
      </w:r>
      <w:r w:rsidR="0070122E" w:rsidRPr="009371D6">
        <w:rPr>
          <w:szCs w:val="20"/>
        </w:rPr>
        <w:t>grain</w:t>
      </w:r>
      <w:r w:rsidR="0070122E">
        <w:t xml:space="preserve"> </w:t>
      </w:r>
      <w:r w:rsidR="0070122E" w:rsidRPr="009371D6">
        <w:rPr>
          <w:szCs w:val="20"/>
        </w:rPr>
        <w:t xml:space="preserve">shortages </w:t>
      </w:r>
      <w:r w:rsidR="00311FAE" w:rsidRPr="009371D6">
        <w:rPr>
          <w:szCs w:val="20"/>
        </w:rPr>
        <w:t xml:space="preserve">and </w:t>
      </w:r>
      <w:r w:rsidR="007679A5" w:rsidRPr="009371D6">
        <w:rPr>
          <w:szCs w:val="20"/>
        </w:rPr>
        <w:t xml:space="preserve">rising </w:t>
      </w:r>
      <w:r w:rsidR="00BD4D6D" w:rsidRPr="009371D6">
        <w:rPr>
          <w:szCs w:val="20"/>
        </w:rPr>
        <w:t>energy prices, which in turn have led to higher fertiliser prices.</w:t>
      </w:r>
      <w:r w:rsidR="00FF27D8" w:rsidRPr="009371D6">
        <w:rPr>
          <w:szCs w:val="20"/>
        </w:rPr>
        <w:t xml:space="preserve"> </w:t>
      </w:r>
      <w:r w:rsidR="00D914A7" w:rsidRPr="009371D6">
        <w:rPr>
          <w:szCs w:val="20"/>
        </w:rPr>
        <w:t>While h</w:t>
      </w:r>
      <w:r w:rsidR="00BD4D6D" w:rsidRPr="009371D6">
        <w:rPr>
          <w:szCs w:val="20"/>
        </w:rPr>
        <w:t>igher input costs</w:t>
      </w:r>
      <w:r w:rsidR="004608D5" w:rsidRPr="009371D6">
        <w:rPr>
          <w:szCs w:val="20"/>
        </w:rPr>
        <w:t xml:space="preserve"> are lowing </w:t>
      </w:r>
      <w:r w:rsidR="00BD4D6D" w:rsidRPr="009371D6">
        <w:rPr>
          <w:szCs w:val="20"/>
        </w:rPr>
        <w:t>the ratio of food supply to demand</w:t>
      </w:r>
      <w:r w:rsidR="00D914A7" w:rsidRPr="009371D6">
        <w:rPr>
          <w:szCs w:val="20"/>
        </w:rPr>
        <w:t xml:space="preserve">, </w:t>
      </w:r>
      <w:r w:rsidR="00B05023" w:rsidRPr="009371D6">
        <w:rPr>
          <w:szCs w:val="20"/>
        </w:rPr>
        <w:t>high meat prices are likely to sustain meat processors</w:t>
      </w:r>
      <w:r w:rsidR="00C176FD" w:rsidRPr="009371D6">
        <w:rPr>
          <w:szCs w:val="20"/>
        </w:rPr>
        <w:t xml:space="preserve"> especially as </w:t>
      </w:r>
      <w:r w:rsidR="00856AFA" w:rsidRPr="009371D6">
        <w:rPr>
          <w:szCs w:val="20"/>
        </w:rPr>
        <w:t xml:space="preserve">demand for meat products </w:t>
      </w:r>
      <w:r w:rsidR="00C176FD" w:rsidRPr="009371D6">
        <w:rPr>
          <w:szCs w:val="20"/>
        </w:rPr>
        <w:t xml:space="preserve">is projected </w:t>
      </w:r>
      <w:r w:rsidR="00856AFA" w:rsidRPr="009371D6">
        <w:rPr>
          <w:szCs w:val="20"/>
        </w:rPr>
        <w:t xml:space="preserve">to remain high due to key </w:t>
      </w:r>
      <w:r w:rsidR="008D02CA" w:rsidRPr="009371D6">
        <w:rPr>
          <w:szCs w:val="20"/>
        </w:rPr>
        <w:t xml:space="preserve">local and </w:t>
      </w:r>
      <w:r w:rsidR="00856AFA" w:rsidRPr="009371D6">
        <w:rPr>
          <w:szCs w:val="20"/>
        </w:rPr>
        <w:t>export markets continuing their economic recovery</w:t>
      </w:r>
      <w:r w:rsidR="008D02CA" w:rsidRPr="009371D6">
        <w:rPr>
          <w:rStyle w:val="FootnoteReference"/>
          <w:sz w:val="20"/>
          <w:szCs w:val="20"/>
        </w:rPr>
        <w:footnoteReference w:id="44"/>
      </w:r>
      <w:r w:rsidR="00856AFA" w:rsidRPr="009371D6">
        <w:rPr>
          <w:szCs w:val="20"/>
        </w:rPr>
        <w:t>.</w:t>
      </w:r>
    </w:p>
    <w:p w14:paraId="456524AB" w14:textId="543C7AC7" w:rsidR="00461F9D" w:rsidRPr="009371D6" w:rsidRDefault="00461F9D" w:rsidP="00B30DE1">
      <w:pPr>
        <w:rPr>
          <w:szCs w:val="20"/>
        </w:rPr>
      </w:pPr>
    </w:p>
    <w:p w14:paraId="023B1727" w14:textId="3DD631B5" w:rsidR="000D7782" w:rsidRPr="009371D6" w:rsidRDefault="00461F9D" w:rsidP="004A18AB">
      <w:pPr>
        <w:rPr>
          <w:szCs w:val="20"/>
        </w:rPr>
      </w:pPr>
      <w:r w:rsidRPr="009371D6">
        <w:rPr>
          <w:szCs w:val="20"/>
        </w:rPr>
        <w:t xml:space="preserve">Due to Australia's mature meat market, </w:t>
      </w:r>
      <w:r w:rsidR="00A40027" w:rsidRPr="009371D6">
        <w:rPr>
          <w:szCs w:val="20"/>
        </w:rPr>
        <w:t xml:space="preserve">IBISWorld </w:t>
      </w:r>
      <w:r w:rsidR="00166D22" w:rsidRPr="009371D6">
        <w:rPr>
          <w:szCs w:val="20"/>
        </w:rPr>
        <w:t xml:space="preserve">anticipate that </w:t>
      </w:r>
      <w:r w:rsidRPr="009371D6">
        <w:rPr>
          <w:szCs w:val="20"/>
        </w:rPr>
        <w:t xml:space="preserve">meat processors will likely continue relying on export markets to boost sales and expand revenue. This involves expanding into </w:t>
      </w:r>
      <w:r w:rsidR="00FA5F04" w:rsidRPr="009371D6">
        <w:rPr>
          <w:szCs w:val="20"/>
        </w:rPr>
        <w:t xml:space="preserve">new </w:t>
      </w:r>
      <w:r w:rsidR="007F1917" w:rsidRPr="009371D6">
        <w:rPr>
          <w:szCs w:val="20"/>
        </w:rPr>
        <w:t xml:space="preserve">or under-explored </w:t>
      </w:r>
      <w:r w:rsidRPr="009371D6">
        <w:rPr>
          <w:szCs w:val="20"/>
        </w:rPr>
        <w:t>market</w:t>
      </w:r>
      <w:r w:rsidR="00FA5F04" w:rsidRPr="009371D6">
        <w:rPr>
          <w:szCs w:val="20"/>
        </w:rPr>
        <w:t>s</w:t>
      </w:r>
      <w:r w:rsidR="007F1917" w:rsidRPr="009371D6">
        <w:rPr>
          <w:szCs w:val="20"/>
        </w:rPr>
        <w:t xml:space="preserve"> including through</w:t>
      </w:r>
      <w:r w:rsidR="000D7782" w:rsidRPr="009371D6">
        <w:rPr>
          <w:szCs w:val="20"/>
        </w:rPr>
        <w:t>:</w:t>
      </w:r>
    </w:p>
    <w:p w14:paraId="52BE2224" w14:textId="1A00F335" w:rsidR="00FC0356" w:rsidRPr="009371D6" w:rsidRDefault="003218AE" w:rsidP="000D7782">
      <w:pPr>
        <w:pStyle w:val="ListBullet"/>
        <w:rPr>
          <w:szCs w:val="20"/>
        </w:rPr>
      </w:pPr>
      <w:r>
        <w:rPr>
          <w:szCs w:val="20"/>
        </w:rPr>
        <w:t>T</w:t>
      </w:r>
      <w:r w:rsidR="00725EA6" w:rsidRPr="009371D6">
        <w:rPr>
          <w:szCs w:val="20"/>
        </w:rPr>
        <w:t xml:space="preserve">he </w:t>
      </w:r>
      <w:r w:rsidR="00FC0356" w:rsidRPr="009371D6">
        <w:rPr>
          <w:szCs w:val="20"/>
        </w:rPr>
        <w:t>Australian red meat export market diversification</w:t>
      </w:r>
      <w:r w:rsidR="0020155E" w:rsidRPr="009371D6">
        <w:rPr>
          <w:szCs w:val="20"/>
        </w:rPr>
        <w:t xml:space="preserve"> program</w:t>
      </w:r>
      <w:r w:rsidR="007341D7" w:rsidRPr="009371D6">
        <w:rPr>
          <w:szCs w:val="20"/>
        </w:rPr>
        <w:t>, which has added three new business development specialists with skills for promoting trade flows and to capitalise on recent market access gains in</w:t>
      </w:r>
      <w:r w:rsidR="00FC0356" w:rsidRPr="009371D6">
        <w:rPr>
          <w:szCs w:val="20"/>
        </w:rPr>
        <w:t xml:space="preserve"> Saudi Arabia, Thailand</w:t>
      </w:r>
      <w:r w:rsidR="007341D7" w:rsidRPr="009371D6">
        <w:rPr>
          <w:szCs w:val="20"/>
        </w:rPr>
        <w:t xml:space="preserve"> and</w:t>
      </w:r>
      <w:r w:rsidR="00FC0356" w:rsidRPr="009371D6">
        <w:rPr>
          <w:szCs w:val="20"/>
        </w:rPr>
        <w:t xml:space="preserve"> Vietnam</w:t>
      </w:r>
      <w:r w:rsidR="00FC0356" w:rsidRPr="009371D6">
        <w:rPr>
          <w:rStyle w:val="FootnoteReference"/>
          <w:sz w:val="20"/>
          <w:szCs w:val="20"/>
        </w:rPr>
        <w:footnoteReference w:id="45"/>
      </w:r>
      <w:r>
        <w:rPr>
          <w:szCs w:val="20"/>
        </w:rPr>
        <w:t>.</w:t>
      </w:r>
    </w:p>
    <w:p w14:paraId="18BDCDED" w14:textId="23AE2146" w:rsidR="00143564" w:rsidRDefault="00126F93" w:rsidP="00141BE6">
      <w:pPr>
        <w:pStyle w:val="ListBullet2"/>
      </w:pPr>
      <w:r w:rsidRPr="009371D6">
        <w:rPr>
          <w:szCs w:val="20"/>
        </w:rPr>
        <w:lastRenderedPageBreak/>
        <w:t xml:space="preserve">The Australia-India Comprehensive Economic Cooperation and Trade Agreement (AI-ECTA) was signed by ministers for both countries </w:t>
      </w:r>
      <w:r w:rsidR="00020510" w:rsidRPr="009371D6">
        <w:rPr>
          <w:szCs w:val="20"/>
        </w:rPr>
        <w:t xml:space="preserve">in </w:t>
      </w:r>
      <w:r w:rsidRPr="009371D6">
        <w:rPr>
          <w:szCs w:val="20"/>
        </w:rPr>
        <w:t>April 2022</w:t>
      </w:r>
      <w:r w:rsidR="00785DA0" w:rsidRPr="009371D6">
        <w:rPr>
          <w:szCs w:val="20"/>
        </w:rPr>
        <w:t xml:space="preserve"> and will open</w:t>
      </w:r>
      <w:r w:rsidRPr="009371D6">
        <w:rPr>
          <w:szCs w:val="20"/>
        </w:rPr>
        <w:t xml:space="preserve"> several opportunities for the </w:t>
      </w:r>
      <w:r w:rsidR="00785DA0" w:rsidRPr="009371D6">
        <w:rPr>
          <w:szCs w:val="20"/>
        </w:rPr>
        <w:t xml:space="preserve">meat industry </w:t>
      </w:r>
      <w:r w:rsidRPr="009371D6">
        <w:rPr>
          <w:szCs w:val="20"/>
        </w:rPr>
        <w:t>including the elimination of tariffs on sheepmeat</w:t>
      </w:r>
      <w:r w:rsidR="00785DA0">
        <w:rPr>
          <w:rStyle w:val="FootnoteReference"/>
        </w:rPr>
        <w:footnoteReference w:id="46"/>
      </w:r>
      <w:r>
        <w:t>.</w:t>
      </w:r>
    </w:p>
    <w:p w14:paraId="0E73D8AF" w14:textId="7E44380A" w:rsidR="000B3B75" w:rsidRDefault="000B3B75" w:rsidP="001044E2">
      <w:pPr>
        <w:pStyle w:val="Heading4"/>
      </w:pPr>
      <w:bookmarkStart w:id="43" w:name="_Toc115363706"/>
      <w:bookmarkStart w:id="44" w:name="ShortageofSkilledWorkers"/>
      <w:r>
        <w:t>Shortage of skilled workers</w:t>
      </w:r>
      <w:bookmarkEnd w:id="43"/>
    </w:p>
    <w:p w14:paraId="1A26E207" w14:textId="317EF985" w:rsidR="00B41307" w:rsidRPr="009371D6" w:rsidRDefault="00B41307" w:rsidP="00B41307">
      <w:pPr>
        <w:rPr>
          <w:szCs w:val="20"/>
        </w:rPr>
      </w:pPr>
      <w:r w:rsidRPr="009371D6">
        <w:rPr>
          <w:szCs w:val="20"/>
        </w:rPr>
        <w:t>The meat processing industry continues to be constrained by widespread labour shortages jeopardising the short- and long-term viability of many businesses. Industry participants are of critical importance because the skills, knowledge and expertise that they bring or develop are essential to the industry’s growth</w:t>
      </w:r>
      <w:r w:rsidRPr="009371D6">
        <w:rPr>
          <w:rStyle w:val="FootnoteReference"/>
          <w:sz w:val="20"/>
          <w:szCs w:val="20"/>
        </w:rPr>
        <w:footnoteReference w:id="47"/>
      </w:r>
      <w:r w:rsidRPr="009371D6">
        <w:rPr>
          <w:szCs w:val="20"/>
        </w:rPr>
        <w:t>.</w:t>
      </w:r>
    </w:p>
    <w:p w14:paraId="08ACA1D7" w14:textId="77777777" w:rsidR="00B41307" w:rsidRPr="009371D6" w:rsidRDefault="00B41307" w:rsidP="00B41307">
      <w:pPr>
        <w:rPr>
          <w:szCs w:val="20"/>
        </w:rPr>
      </w:pPr>
    </w:p>
    <w:p w14:paraId="07D0B5CA" w14:textId="27D73DBE" w:rsidR="00CB27E8" w:rsidRDefault="00CB27E8" w:rsidP="00CB27E8">
      <w:pPr>
        <w:rPr>
          <w:szCs w:val="20"/>
        </w:rPr>
      </w:pPr>
      <w:r w:rsidRPr="009371D6">
        <w:rPr>
          <w:szCs w:val="20"/>
        </w:rPr>
        <w:t>The National Skills Commission (NSC) regularly reviews the national skills needs of Australia and</w:t>
      </w:r>
      <w:r w:rsidR="008146DD" w:rsidRPr="009371D6">
        <w:rPr>
          <w:szCs w:val="20"/>
        </w:rPr>
        <w:t xml:space="preserve"> </w:t>
      </w:r>
      <w:r w:rsidRPr="009371D6">
        <w:rPr>
          <w:szCs w:val="20"/>
        </w:rPr>
        <w:t>has responsibility for releasing a</w:t>
      </w:r>
      <w:r w:rsidR="008146DD" w:rsidRPr="009371D6">
        <w:rPr>
          <w:szCs w:val="20"/>
        </w:rPr>
        <w:t>n annual</w:t>
      </w:r>
      <w:r w:rsidRPr="009371D6">
        <w:rPr>
          <w:szCs w:val="20"/>
        </w:rPr>
        <w:t xml:space="preserve"> Skills Priority List (SPL). A key element of the SPL is the determination of occupational shortages, when ‘employers are unable to fill or have considerable difficulty filling vacancies for an occupation or cannot meet significant specialised skill needs within that occupation, at current levels of remuneration and conditions of employment and in reasonably accessible locations’</w:t>
      </w:r>
      <w:r w:rsidRPr="009371D6">
        <w:rPr>
          <w:rStyle w:val="FootnoteReference"/>
          <w:sz w:val="20"/>
          <w:szCs w:val="20"/>
        </w:rPr>
        <w:footnoteReference w:id="48"/>
      </w:r>
      <w:r w:rsidRPr="009371D6">
        <w:rPr>
          <w:szCs w:val="20"/>
        </w:rPr>
        <w:t xml:space="preserve">. Occupational shortages designated by the NSC for </w:t>
      </w:r>
      <w:r w:rsidR="00791818" w:rsidRPr="009371D6">
        <w:rPr>
          <w:szCs w:val="20"/>
        </w:rPr>
        <w:t>meat processing</w:t>
      </w:r>
      <w:r w:rsidRPr="009371D6">
        <w:rPr>
          <w:szCs w:val="20"/>
        </w:rPr>
        <w:t xml:space="preserve"> are: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A5E95" w14:paraId="258B4A08" w14:textId="77777777" w:rsidTr="002D0D12">
        <w:tc>
          <w:tcPr>
            <w:tcW w:w="9350" w:type="dxa"/>
          </w:tcPr>
          <w:p w14:paraId="3E64367E" w14:textId="59E72316" w:rsidR="005A5E95" w:rsidRDefault="005A5E95" w:rsidP="005A5E95">
            <w:pPr>
              <w:pStyle w:val="TableTitle"/>
            </w:pPr>
            <w:r>
              <w:t xml:space="preserve">Table </w:t>
            </w:r>
            <w:r w:rsidR="0069100F">
              <w:fldChar w:fldCharType="begin"/>
            </w:r>
            <w:r w:rsidR="0069100F">
              <w:instrText xml:space="preserve"> SEQ Table \* ARABIC </w:instrText>
            </w:r>
            <w:r w:rsidR="0069100F">
              <w:fldChar w:fldCharType="separate"/>
            </w:r>
            <w:r w:rsidR="00C6344A">
              <w:rPr>
                <w:noProof/>
              </w:rPr>
              <w:t>3</w:t>
            </w:r>
            <w:r w:rsidR="0069100F">
              <w:rPr>
                <w:noProof/>
              </w:rPr>
              <w:fldChar w:fldCharType="end"/>
            </w:r>
            <w:r>
              <w:t>:</w:t>
            </w:r>
            <w:r w:rsidRPr="005A5E95">
              <w:t xml:space="preserve"> Skills Priorit</w:t>
            </w:r>
            <w:r>
              <w:t>ies</w:t>
            </w:r>
          </w:p>
        </w:tc>
      </w:tr>
      <w:tr w:rsidR="005A5E95" w14:paraId="0553C8E4" w14:textId="77777777" w:rsidTr="002D0D12">
        <w:tc>
          <w:tcPr>
            <w:tcW w:w="9350" w:type="dxa"/>
          </w:tcPr>
          <w:tbl>
            <w:tblPr>
              <w:tblW w:w="8103" w:type="dxa"/>
              <w:tblLook w:val="04A0" w:firstRow="1" w:lastRow="0" w:firstColumn="1" w:lastColumn="0" w:noHBand="0" w:noVBand="1"/>
            </w:tblPr>
            <w:tblGrid>
              <w:gridCol w:w="1061"/>
              <w:gridCol w:w="3119"/>
              <w:gridCol w:w="2806"/>
              <w:gridCol w:w="1169"/>
            </w:tblGrid>
            <w:tr w:rsidR="005A5E95" w:rsidRPr="007F183D" w14:paraId="518F633B" w14:textId="77777777" w:rsidTr="00AF5F36">
              <w:trPr>
                <w:trHeight w:val="827"/>
              </w:trPr>
              <w:tc>
                <w:tcPr>
                  <w:tcW w:w="1009" w:type="dxa"/>
                  <w:tcBorders>
                    <w:top w:val="single" w:sz="4" w:space="0" w:color="auto"/>
                    <w:left w:val="single" w:sz="4" w:space="0" w:color="auto"/>
                    <w:bottom w:val="single" w:sz="4" w:space="0" w:color="auto"/>
                    <w:right w:val="single" w:sz="4" w:space="0" w:color="auto"/>
                  </w:tcBorders>
                  <w:shd w:val="clear" w:color="000000" w:fill="00843D"/>
                  <w:vAlign w:val="center"/>
                  <w:hideMark/>
                </w:tcPr>
                <w:p w14:paraId="39ACDE3B" w14:textId="77777777" w:rsidR="005A5E95" w:rsidRPr="00B41307" w:rsidRDefault="005A5E95" w:rsidP="005A5E95">
                  <w:pPr>
                    <w:widowControl/>
                    <w:autoSpaceDE/>
                    <w:autoSpaceDN/>
                    <w:jc w:val="left"/>
                    <w:rPr>
                      <w:rFonts w:eastAsia="Times New Roman"/>
                      <w:b/>
                      <w:bCs/>
                      <w:color w:val="FFFFFF"/>
                      <w:szCs w:val="20"/>
                      <w:lang w:eastAsia="en-AU"/>
                    </w:rPr>
                  </w:pPr>
                  <w:r w:rsidRPr="00B41307">
                    <w:rPr>
                      <w:rFonts w:eastAsia="Times New Roman"/>
                      <w:b/>
                      <w:bCs/>
                      <w:color w:val="FFFFFF"/>
                      <w:szCs w:val="20"/>
                      <w:lang w:eastAsia="en-AU"/>
                    </w:rPr>
                    <w:t>ANZSCO Code</w:t>
                  </w:r>
                </w:p>
              </w:tc>
              <w:tc>
                <w:tcPr>
                  <w:tcW w:w="3119" w:type="dxa"/>
                  <w:tcBorders>
                    <w:top w:val="single" w:sz="4" w:space="0" w:color="auto"/>
                    <w:left w:val="nil"/>
                    <w:bottom w:val="single" w:sz="4" w:space="0" w:color="auto"/>
                    <w:right w:val="single" w:sz="4" w:space="0" w:color="auto"/>
                  </w:tcBorders>
                  <w:shd w:val="clear" w:color="000000" w:fill="00843D"/>
                  <w:vAlign w:val="center"/>
                  <w:hideMark/>
                </w:tcPr>
                <w:p w14:paraId="37D65E64" w14:textId="77777777" w:rsidR="005A5E95" w:rsidRPr="00B41307" w:rsidRDefault="005A5E95" w:rsidP="005A5E95">
                  <w:pPr>
                    <w:widowControl/>
                    <w:autoSpaceDE/>
                    <w:autoSpaceDN/>
                    <w:jc w:val="left"/>
                    <w:rPr>
                      <w:rFonts w:eastAsia="Times New Roman"/>
                      <w:b/>
                      <w:bCs/>
                      <w:color w:val="FFFFFF"/>
                      <w:szCs w:val="20"/>
                      <w:lang w:eastAsia="en-AU"/>
                    </w:rPr>
                  </w:pPr>
                  <w:r w:rsidRPr="00B41307">
                    <w:rPr>
                      <w:rFonts w:eastAsia="Times New Roman"/>
                      <w:b/>
                      <w:bCs/>
                      <w:color w:val="FFFFFF"/>
                      <w:szCs w:val="20"/>
                      <w:lang w:eastAsia="en-AU"/>
                    </w:rPr>
                    <w:t>Occupation</w:t>
                  </w:r>
                </w:p>
              </w:tc>
              <w:tc>
                <w:tcPr>
                  <w:tcW w:w="2806" w:type="dxa"/>
                  <w:tcBorders>
                    <w:top w:val="single" w:sz="4" w:space="0" w:color="auto"/>
                    <w:left w:val="nil"/>
                    <w:bottom w:val="single" w:sz="4" w:space="0" w:color="auto"/>
                    <w:right w:val="single" w:sz="4" w:space="0" w:color="auto"/>
                  </w:tcBorders>
                  <w:shd w:val="clear" w:color="000000" w:fill="00843D"/>
                  <w:vAlign w:val="center"/>
                  <w:hideMark/>
                </w:tcPr>
                <w:p w14:paraId="35EFFDD1" w14:textId="77777777" w:rsidR="005A5E95" w:rsidRPr="00B41307" w:rsidRDefault="005A5E95" w:rsidP="005A5E95">
                  <w:pPr>
                    <w:widowControl/>
                    <w:autoSpaceDE/>
                    <w:autoSpaceDN/>
                    <w:jc w:val="left"/>
                    <w:rPr>
                      <w:rFonts w:eastAsia="Times New Roman"/>
                      <w:b/>
                      <w:bCs/>
                      <w:color w:val="FFFFFF"/>
                      <w:szCs w:val="20"/>
                      <w:lang w:eastAsia="en-AU"/>
                    </w:rPr>
                  </w:pPr>
                  <w:r w:rsidRPr="00B41307">
                    <w:rPr>
                      <w:rFonts w:eastAsia="Times New Roman"/>
                      <w:b/>
                      <w:bCs/>
                      <w:color w:val="FFFFFF"/>
                      <w:szCs w:val="20"/>
                      <w:lang w:eastAsia="en-AU"/>
                    </w:rPr>
                    <w:t>Current national shortage overall?</w:t>
                  </w:r>
                </w:p>
              </w:tc>
              <w:tc>
                <w:tcPr>
                  <w:tcW w:w="1169" w:type="dxa"/>
                  <w:tcBorders>
                    <w:top w:val="single" w:sz="4" w:space="0" w:color="auto"/>
                    <w:left w:val="nil"/>
                    <w:bottom w:val="single" w:sz="4" w:space="0" w:color="auto"/>
                    <w:right w:val="single" w:sz="4" w:space="0" w:color="auto"/>
                  </w:tcBorders>
                  <w:shd w:val="clear" w:color="000000" w:fill="00843D"/>
                  <w:vAlign w:val="center"/>
                  <w:hideMark/>
                </w:tcPr>
                <w:p w14:paraId="52E90C72" w14:textId="77777777" w:rsidR="005A5E95" w:rsidRPr="00B41307" w:rsidRDefault="005A5E95" w:rsidP="005A5E95">
                  <w:pPr>
                    <w:widowControl/>
                    <w:autoSpaceDE/>
                    <w:autoSpaceDN/>
                    <w:jc w:val="left"/>
                    <w:rPr>
                      <w:rFonts w:eastAsia="Times New Roman"/>
                      <w:b/>
                      <w:bCs/>
                      <w:color w:val="FFFFFF"/>
                      <w:szCs w:val="20"/>
                      <w:lang w:eastAsia="en-AU"/>
                    </w:rPr>
                  </w:pPr>
                  <w:r w:rsidRPr="00B41307">
                    <w:rPr>
                      <w:rFonts w:eastAsia="Times New Roman"/>
                      <w:b/>
                      <w:bCs/>
                      <w:color w:val="FFFFFF"/>
                      <w:szCs w:val="20"/>
                      <w:lang w:eastAsia="en-AU"/>
                    </w:rPr>
                    <w:t>Future demand (five-year period)</w:t>
                  </w:r>
                </w:p>
              </w:tc>
            </w:tr>
            <w:tr w:rsidR="005A5E95" w:rsidRPr="007F183D" w14:paraId="4149FE3E" w14:textId="77777777" w:rsidTr="00AF5F36">
              <w:trPr>
                <w:trHeight w:val="300"/>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14:paraId="04DEA4E8" w14:textId="77777777" w:rsidR="005A5E95" w:rsidRPr="00B41307" w:rsidRDefault="005A5E95" w:rsidP="005A5E95">
                  <w:pPr>
                    <w:widowControl/>
                    <w:autoSpaceDE/>
                    <w:autoSpaceDN/>
                    <w:jc w:val="left"/>
                    <w:rPr>
                      <w:rFonts w:eastAsia="Times New Roman"/>
                      <w:color w:val="000000"/>
                      <w:szCs w:val="20"/>
                      <w:lang w:eastAsia="en-AU"/>
                    </w:rPr>
                  </w:pPr>
                  <w:r w:rsidRPr="00B41307">
                    <w:rPr>
                      <w:rFonts w:eastAsia="Times New Roman"/>
                      <w:color w:val="000000"/>
                      <w:szCs w:val="20"/>
                      <w:lang w:eastAsia="en-AU"/>
                    </w:rPr>
                    <w:t>351211</w:t>
                  </w:r>
                </w:p>
              </w:tc>
              <w:tc>
                <w:tcPr>
                  <w:tcW w:w="3119" w:type="dxa"/>
                  <w:tcBorders>
                    <w:top w:val="nil"/>
                    <w:left w:val="nil"/>
                    <w:bottom w:val="single" w:sz="4" w:space="0" w:color="auto"/>
                    <w:right w:val="single" w:sz="4" w:space="0" w:color="auto"/>
                  </w:tcBorders>
                  <w:shd w:val="clear" w:color="auto" w:fill="auto"/>
                  <w:noWrap/>
                  <w:vAlign w:val="center"/>
                  <w:hideMark/>
                </w:tcPr>
                <w:p w14:paraId="6C68FCEB" w14:textId="77777777" w:rsidR="005A5E95" w:rsidRPr="00B41307" w:rsidRDefault="005A5E95" w:rsidP="005A5E95">
                  <w:pPr>
                    <w:widowControl/>
                    <w:autoSpaceDE/>
                    <w:autoSpaceDN/>
                    <w:jc w:val="left"/>
                    <w:rPr>
                      <w:rFonts w:eastAsia="Times New Roman"/>
                      <w:color w:val="000000"/>
                      <w:szCs w:val="20"/>
                      <w:lang w:eastAsia="en-AU"/>
                    </w:rPr>
                  </w:pPr>
                  <w:r w:rsidRPr="00B41307">
                    <w:rPr>
                      <w:rFonts w:eastAsia="Times New Roman"/>
                      <w:color w:val="000000"/>
                      <w:szCs w:val="20"/>
                      <w:lang w:eastAsia="en-AU"/>
                    </w:rPr>
                    <w:t>Butcher or Smallgoods Maker</w:t>
                  </w:r>
                </w:p>
              </w:tc>
              <w:tc>
                <w:tcPr>
                  <w:tcW w:w="2806" w:type="dxa"/>
                  <w:tcBorders>
                    <w:top w:val="nil"/>
                    <w:left w:val="nil"/>
                    <w:bottom w:val="single" w:sz="4" w:space="0" w:color="auto"/>
                    <w:right w:val="single" w:sz="4" w:space="0" w:color="auto"/>
                  </w:tcBorders>
                  <w:shd w:val="clear" w:color="auto" w:fill="auto"/>
                  <w:noWrap/>
                  <w:vAlign w:val="center"/>
                  <w:hideMark/>
                </w:tcPr>
                <w:p w14:paraId="12BBBCC2" w14:textId="77777777" w:rsidR="005A5E95" w:rsidRPr="00B41307" w:rsidRDefault="005A5E95" w:rsidP="005A5E95">
                  <w:pPr>
                    <w:widowControl/>
                    <w:autoSpaceDE/>
                    <w:autoSpaceDN/>
                    <w:jc w:val="left"/>
                    <w:rPr>
                      <w:rFonts w:eastAsia="Times New Roman"/>
                      <w:color w:val="000000"/>
                      <w:szCs w:val="20"/>
                      <w:lang w:eastAsia="en-AU"/>
                    </w:rPr>
                  </w:pPr>
                  <w:r w:rsidRPr="00B41307">
                    <w:rPr>
                      <w:rFonts w:eastAsia="Times New Roman"/>
                      <w:color w:val="000000"/>
                      <w:szCs w:val="20"/>
                      <w:lang w:eastAsia="en-AU"/>
                    </w:rPr>
                    <w:t>Yes</w:t>
                  </w:r>
                </w:p>
              </w:tc>
              <w:tc>
                <w:tcPr>
                  <w:tcW w:w="1169" w:type="dxa"/>
                  <w:tcBorders>
                    <w:top w:val="nil"/>
                    <w:left w:val="nil"/>
                    <w:bottom w:val="single" w:sz="4" w:space="0" w:color="auto"/>
                    <w:right w:val="single" w:sz="4" w:space="0" w:color="auto"/>
                  </w:tcBorders>
                  <w:shd w:val="clear" w:color="auto" w:fill="auto"/>
                  <w:noWrap/>
                  <w:vAlign w:val="center"/>
                  <w:hideMark/>
                </w:tcPr>
                <w:p w14:paraId="47451BD8" w14:textId="77777777" w:rsidR="005A5E95" w:rsidRPr="00B41307" w:rsidRDefault="005A5E95" w:rsidP="005A5E95">
                  <w:pPr>
                    <w:widowControl/>
                    <w:autoSpaceDE/>
                    <w:autoSpaceDN/>
                    <w:jc w:val="left"/>
                    <w:rPr>
                      <w:rFonts w:eastAsia="Times New Roman"/>
                      <w:color w:val="000000"/>
                      <w:szCs w:val="20"/>
                      <w:lang w:eastAsia="en-AU"/>
                    </w:rPr>
                  </w:pPr>
                  <w:r w:rsidRPr="00B41307">
                    <w:rPr>
                      <w:rFonts w:eastAsia="Times New Roman"/>
                      <w:color w:val="000000"/>
                      <w:szCs w:val="20"/>
                      <w:lang w:eastAsia="en-AU"/>
                    </w:rPr>
                    <w:t>Strong</w:t>
                  </w:r>
                </w:p>
              </w:tc>
            </w:tr>
            <w:tr w:rsidR="005A5E95" w:rsidRPr="007F183D" w14:paraId="7A9F1D75" w14:textId="77777777" w:rsidTr="00AF5F36">
              <w:trPr>
                <w:trHeight w:val="300"/>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14:paraId="4EAB6305" w14:textId="77777777" w:rsidR="005A5E95" w:rsidRPr="00B41307" w:rsidRDefault="005A5E95" w:rsidP="005A5E95">
                  <w:pPr>
                    <w:widowControl/>
                    <w:autoSpaceDE/>
                    <w:autoSpaceDN/>
                    <w:jc w:val="left"/>
                    <w:rPr>
                      <w:rFonts w:eastAsia="Times New Roman"/>
                      <w:color w:val="000000"/>
                      <w:szCs w:val="20"/>
                      <w:lang w:eastAsia="en-AU"/>
                    </w:rPr>
                  </w:pPr>
                  <w:r w:rsidRPr="00B41307">
                    <w:rPr>
                      <w:rFonts w:eastAsia="Times New Roman"/>
                      <w:color w:val="000000"/>
                      <w:szCs w:val="20"/>
                      <w:lang w:eastAsia="en-AU"/>
                    </w:rPr>
                    <w:t>311312</w:t>
                  </w:r>
                </w:p>
              </w:tc>
              <w:tc>
                <w:tcPr>
                  <w:tcW w:w="3119" w:type="dxa"/>
                  <w:tcBorders>
                    <w:top w:val="nil"/>
                    <w:left w:val="nil"/>
                    <w:bottom w:val="single" w:sz="4" w:space="0" w:color="auto"/>
                    <w:right w:val="single" w:sz="4" w:space="0" w:color="auto"/>
                  </w:tcBorders>
                  <w:shd w:val="clear" w:color="auto" w:fill="auto"/>
                  <w:noWrap/>
                  <w:vAlign w:val="center"/>
                  <w:hideMark/>
                </w:tcPr>
                <w:p w14:paraId="20029022" w14:textId="77777777" w:rsidR="005A5E95" w:rsidRPr="00B41307" w:rsidRDefault="005A5E95" w:rsidP="005A5E95">
                  <w:pPr>
                    <w:widowControl/>
                    <w:autoSpaceDE/>
                    <w:autoSpaceDN/>
                    <w:jc w:val="left"/>
                    <w:rPr>
                      <w:rFonts w:eastAsia="Times New Roman"/>
                      <w:color w:val="000000"/>
                      <w:szCs w:val="20"/>
                      <w:lang w:eastAsia="en-AU"/>
                    </w:rPr>
                  </w:pPr>
                  <w:r w:rsidRPr="00B41307">
                    <w:rPr>
                      <w:rFonts w:eastAsia="Times New Roman"/>
                      <w:color w:val="000000"/>
                      <w:szCs w:val="20"/>
                      <w:lang w:eastAsia="en-AU"/>
                    </w:rPr>
                    <w:t>Meat Inspector</w:t>
                  </w:r>
                </w:p>
              </w:tc>
              <w:tc>
                <w:tcPr>
                  <w:tcW w:w="2806" w:type="dxa"/>
                  <w:tcBorders>
                    <w:top w:val="nil"/>
                    <w:left w:val="nil"/>
                    <w:bottom w:val="single" w:sz="4" w:space="0" w:color="auto"/>
                    <w:right w:val="single" w:sz="4" w:space="0" w:color="auto"/>
                  </w:tcBorders>
                  <w:shd w:val="clear" w:color="auto" w:fill="auto"/>
                  <w:noWrap/>
                  <w:vAlign w:val="center"/>
                  <w:hideMark/>
                </w:tcPr>
                <w:p w14:paraId="1D602F9C" w14:textId="77777777" w:rsidR="005A5E95" w:rsidRPr="00B41307" w:rsidRDefault="005A5E95" w:rsidP="005A5E95">
                  <w:pPr>
                    <w:widowControl/>
                    <w:autoSpaceDE/>
                    <w:autoSpaceDN/>
                    <w:jc w:val="left"/>
                    <w:rPr>
                      <w:rFonts w:eastAsia="Times New Roman"/>
                      <w:color w:val="000000"/>
                      <w:szCs w:val="20"/>
                      <w:lang w:eastAsia="en-AU"/>
                    </w:rPr>
                  </w:pPr>
                  <w:r w:rsidRPr="00B41307">
                    <w:rPr>
                      <w:rFonts w:eastAsia="Times New Roman"/>
                      <w:color w:val="000000"/>
                      <w:szCs w:val="20"/>
                      <w:lang w:eastAsia="en-AU"/>
                    </w:rPr>
                    <w:t>Yes</w:t>
                  </w:r>
                </w:p>
              </w:tc>
              <w:tc>
                <w:tcPr>
                  <w:tcW w:w="1169" w:type="dxa"/>
                  <w:tcBorders>
                    <w:top w:val="nil"/>
                    <w:left w:val="nil"/>
                    <w:bottom w:val="single" w:sz="4" w:space="0" w:color="auto"/>
                    <w:right w:val="single" w:sz="4" w:space="0" w:color="auto"/>
                  </w:tcBorders>
                  <w:shd w:val="clear" w:color="auto" w:fill="auto"/>
                  <w:noWrap/>
                  <w:vAlign w:val="center"/>
                  <w:hideMark/>
                </w:tcPr>
                <w:p w14:paraId="0E0F438C" w14:textId="77777777" w:rsidR="005A5E95" w:rsidRPr="00B41307" w:rsidRDefault="005A5E95" w:rsidP="005A5E95">
                  <w:pPr>
                    <w:widowControl/>
                    <w:autoSpaceDE/>
                    <w:autoSpaceDN/>
                    <w:jc w:val="left"/>
                    <w:rPr>
                      <w:rFonts w:eastAsia="Times New Roman"/>
                      <w:color w:val="000000"/>
                      <w:szCs w:val="20"/>
                      <w:lang w:eastAsia="en-AU"/>
                    </w:rPr>
                  </w:pPr>
                  <w:r w:rsidRPr="00B41307">
                    <w:rPr>
                      <w:rFonts w:eastAsia="Times New Roman"/>
                      <w:color w:val="000000"/>
                      <w:szCs w:val="20"/>
                      <w:lang w:eastAsia="en-AU"/>
                    </w:rPr>
                    <w:t>Moderate</w:t>
                  </w:r>
                </w:p>
              </w:tc>
            </w:tr>
            <w:tr w:rsidR="005A5E95" w:rsidRPr="007F183D" w14:paraId="3193357F" w14:textId="77777777" w:rsidTr="00AF5F36">
              <w:trPr>
                <w:trHeight w:val="300"/>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14:paraId="453A1C45" w14:textId="77777777" w:rsidR="005A5E95" w:rsidRPr="00B41307" w:rsidRDefault="005A5E95" w:rsidP="005A5E95">
                  <w:pPr>
                    <w:widowControl/>
                    <w:autoSpaceDE/>
                    <w:autoSpaceDN/>
                    <w:jc w:val="left"/>
                    <w:rPr>
                      <w:rFonts w:eastAsia="Times New Roman"/>
                      <w:color w:val="000000"/>
                      <w:szCs w:val="20"/>
                      <w:lang w:eastAsia="en-AU"/>
                    </w:rPr>
                  </w:pPr>
                  <w:r w:rsidRPr="00B41307">
                    <w:rPr>
                      <w:rFonts w:eastAsia="Times New Roman"/>
                      <w:color w:val="000000"/>
                      <w:szCs w:val="20"/>
                      <w:lang w:eastAsia="en-AU"/>
                    </w:rPr>
                    <w:t>839312</w:t>
                  </w:r>
                </w:p>
              </w:tc>
              <w:tc>
                <w:tcPr>
                  <w:tcW w:w="3119" w:type="dxa"/>
                  <w:tcBorders>
                    <w:top w:val="nil"/>
                    <w:left w:val="nil"/>
                    <w:bottom w:val="single" w:sz="4" w:space="0" w:color="auto"/>
                    <w:right w:val="single" w:sz="4" w:space="0" w:color="auto"/>
                  </w:tcBorders>
                  <w:shd w:val="clear" w:color="auto" w:fill="auto"/>
                  <w:noWrap/>
                  <w:vAlign w:val="center"/>
                  <w:hideMark/>
                </w:tcPr>
                <w:p w14:paraId="615B6C30" w14:textId="77777777" w:rsidR="005A5E95" w:rsidRPr="00B41307" w:rsidRDefault="005A5E95" w:rsidP="005A5E95">
                  <w:pPr>
                    <w:widowControl/>
                    <w:autoSpaceDE/>
                    <w:autoSpaceDN/>
                    <w:jc w:val="left"/>
                    <w:rPr>
                      <w:rFonts w:eastAsia="Times New Roman"/>
                      <w:color w:val="000000"/>
                      <w:szCs w:val="20"/>
                      <w:lang w:eastAsia="en-AU"/>
                    </w:rPr>
                  </w:pPr>
                  <w:r w:rsidRPr="00B41307">
                    <w:rPr>
                      <w:rFonts w:eastAsia="Times New Roman"/>
                      <w:color w:val="000000"/>
                      <w:szCs w:val="20"/>
                      <w:lang w:eastAsia="en-AU"/>
                    </w:rPr>
                    <w:t>Product Grader</w:t>
                  </w:r>
                </w:p>
              </w:tc>
              <w:tc>
                <w:tcPr>
                  <w:tcW w:w="2806" w:type="dxa"/>
                  <w:tcBorders>
                    <w:top w:val="nil"/>
                    <w:left w:val="nil"/>
                    <w:bottom w:val="single" w:sz="4" w:space="0" w:color="auto"/>
                    <w:right w:val="single" w:sz="4" w:space="0" w:color="auto"/>
                  </w:tcBorders>
                  <w:shd w:val="clear" w:color="auto" w:fill="auto"/>
                  <w:noWrap/>
                  <w:vAlign w:val="center"/>
                  <w:hideMark/>
                </w:tcPr>
                <w:p w14:paraId="0B526793" w14:textId="77777777" w:rsidR="005A5E95" w:rsidRPr="00B41307" w:rsidRDefault="005A5E95" w:rsidP="005A5E95">
                  <w:pPr>
                    <w:widowControl/>
                    <w:autoSpaceDE/>
                    <w:autoSpaceDN/>
                    <w:jc w:val="left"/>
                    <w:rPr>
                      <w:rFonts w:eastAsia="Times New Roman"/>
                      <w:color w:val="000000"/>
                      <w:szCs w:val="20"/>
                      <w:lang w:eastAsia="en-AU"/>
                    </w:rPr>
                  </w:pPr>
                  <w:r w:rsidRPr="00B41307">
                    <w:rPr>
                      <w:rFonts w:eastAsia="Times New Roman"/>
                      <w:color w:val="000000"/>
                      <w:szCs w:val="20"/>
                      <w:lang w:eastAsia="en-AU"/>
                    </w:rPr>
                    <w:t>Yes</w:t>
                  </w:r>
                </w:p>
              </w:tc>
              <w:tc>
                <w:tcPr>
                  <w:tcW w:w="1169" w:type="dxa"/>
                  <w:tcBorders>
                    <w:top w:val="nil"/>
                    <w:left w:val="nil"/>
                    <w:bottom w:val="single" w:sz="4" w:space="0" w:color="auto"/>
                    <w:right w:val="single" w:sz="4" w:space="0" w:color="auto"/>
                  </w:tcBorders>
                  <w:shd w:val="clear" w:color="auto" w:fill="auto"/>
                  <w:noWrap/>
                  <w:vAlign w:val="center"/>
                  <w:hideMark/>
                </w:tcPr>
                <w:p w14:paraId="735C28B9" w14:textId="77777777" w:rsidR="005A5E95" w:rsidRPr="00B41307" w:rsidRDefault="005A5E95" w:rsidP="005A5E95">
                  <w:pPr>
                    <w:widowControl/>
                    <w:autoSpaceDE/>
                    <w:autoSpaceDN/>
                    <w:jc w:val="left"/>
                    <w:rPr>
                      <w:rFonts w:eastAsia="Times New Roman"/>
                      <w:color w:val="000000"/>
                      <w:szCs w:val="20"/>
                      <w:lang w:eastAsia="en-AU"/>
                    </w:rPr>
                  </w:pPr>
                  <w:r w:rsidRPr="00B41307">
                    <w:rPr>
                      <w:rFonts w:eastAsia="Times New Roman"/>
                      <w:color w:val="000000"/>
                      <w:szCs w:val="20"/>
                      <w:lang w:eastAsia="en-AU"/>
                    </w:rPr>
                    <w:t>Moderate</w:t>
                  </w:r>
                </w:p>
              </w:tc>
            </w:tr>
            <w:tr w:rsidR="005A5E95" w:rsidRPr="007F183D" w14:paraId="6A1FE4DE" w14:textId="77777777" w:rsidTr="00AF5F36">
              <w:trPr>
                <w:trHeight w:val="300"/>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14:paraId="77781F60" w14:textId="77777777" w:rsidR="005A5E95" w:rsidRPr="00B41307" w:rsidRDefault="005A5E95" w:rsidP="005A5E95">
                  <w:pPr>
                    <w:widowControl/>
                    <w:autoSpaceDE/>
                    <w:autoSpaceDN/>
                    <w:jc w:val="left"/>
                    <w:rPr>
                      <w:rFonts w:eastAsia="Times New Roman"/>
                      <w:color w:val="000000"/>
                      <w:szCs w:val="20"/>
                      <w:lang w:eastAsia="en-AU"/>
                    </w:rPr>
                  </w:pPr>
                  <w:r w:rsidRPr="00B41307">
                    <w:rPr>
                      <w:rFonts w:eastAsia="Times New Roman"/>
                      <w:color w:val="000000"/>
                      <w:szCs w:val="20"/>
                      <w:lang w:eastAsia="en-AU"/>
                    </w:rPr>
                    <w:t>142111</w:t>
                  </w:r>
                </w:p>
              </w:tc>
              <w:tc>
                <w:tcPr>
                  <w:tcW w:w="3119" w:type="dxa"/>
                  <w:tcBorders>
                    <w:top w:val="nil"/>
                    <w:left w:val="nil"/>
                    <w:bottom w:val="single" w:sz="4" w:space="0" w:color="auto"/>
                    <w:right w:val="single" w:sz="4" w:space="0" w:color="auto"/>
                  </w:tcBorders>
                  <w:shd w:val="clear" w:color="auto" w:fill="auto"/>
                  <w:noWrap/>
                  <w:vAlign w:val="center"/>
                  <w:hideMark/>
                </w:tcPr>
                <w:p w14:paraId="5658A8B3" w14:textId="77777777" w:rsidR="005A5E95" w:rsidRPr="00B41307" w:rsidRDefault="005A5E95" w:rsidP="005A5E95">
                  <w:pPr>
                    <w:widowControl/>
                    <w:autoSpaceDE/>
                    <w:autoSpaceDN/>
                    <w:jc w:val="left"/>
                    <w:rPr>
                      <w:rFonts w:eastAsia="Times New Roman"/>
                      <w:color w:val="000000"/>
                      <w:szCs w:val="20"/>
                      <w:lang w:eastAsia="en-AU"/>
                    </w:rPr>
                  </w:pPr>
                  <w:r w:rsidRPr="00B41307">
                    <w:rPr>
                      <w:rFonts w:eastAsia="Times New Roman"/>
                      <w:color w:val="000000"/>
                      <w:szCs w:val="20"/>
                      <w:lang w:eastAsia="en-AU"/>
                    </w:rPr>
                    <w:t>Retail Manager (General)</w:t>
                  </w:r>
                </w:p>
              </w:tc>
              <w:tc>
                <w:tcPr>
                  <w:tcW w:w="2806" w:type="dxa"/>
                  <w:tcBorders>
                    <w:top w:val="nil"/>
                    <w:left w:val="nil"/>
                    <w:bottom w:val="single" w:sz="4" w:space="0" w:color="auto"/>
                    <w:right w:val="single" w:sz="4" w:space="0" w:color="auto"/>
                  </w:tcBorders>
                  <w:shd w:val="clear" w:color="auto" w:fill="auto"/>
                  <w:noWrap/>
                  <w:vAlign w:val="center"/>
                  <w:hideMark/>
                </w:tcPr>
                <w:p w14:paraId="224CBA90" w14:textId="77777777" w:rsidR="005A5E95" w:rsidRPr="00B41307" w:rsidRDefault="005A5E95" w:rsidP="005A5E95">
                  <w:pPr>
                    <w:widowControl/>
                    <w:autoSpaceDE/>
                    <w:autoSpaceDN/>
                    <w:jc w:val="left"/>
                    <w:rPr>
                      <w:rFonts w:eastAsia="Times New Roman"/>
                      <w:color w:val="000000"/>
                      <w:szCs w:val="20"/>
                      <w:lang w:eastAsia="en-AU"/>
                    </w:rPr>
                  </w:pPr>
                  <w:r w:rsidRPr="00B41307">
                    <w:rPr>
                      <w:rFonts w:eastAsia="Times New Roman"/>
                      <w:color w:val="000000"/>
                      <w:szCs w:val="20"/>
                      <w:lang w:eastAsia="en-AU"/>
                    </w:rPr>
                    <w:t>No (shortage in NSW &amp; NT)</w:t>
                  </w:r>
                </w:p>
              </w:tc>
              <w:tc>
                <w:tcPr>
                  <w:tcW w:w="1169" w:type="dxa"/>
                  <w:tcBorders>
                    <w:top w:val="nil"/>
                    <w:left w:val="nil"/>
                    <w:bottom w:val="single" w:sz="4" w:space="0" w:color="auto"/>
                    <w:right w:val="single" w:sz="4" w:space="0" w:color="auto"/>
                  </w:tcBorders>
                  <w:shd w:val="clear" w:color="auto" w:fill="auto"/>
                  <w:noWrap/>
                  <w:vAlign w:val="center"/>
                  <w:hideMark/>
                </w:tcPr>
                <w:p w14:paraId="749DF07D" w14:textId="77777777" w:rsidR="005A5E95" w:rsidRPr="00B41307" w:rsidRDefault="005A5E95" w:rsidP="005A5E95">
                  <w:pPr>
                    <w:widowControl/>
                    <w:autoSpaceDE/>
                    <w:autoSpaceDN/>
                    <w:jc w:val="left"/>
                    <w:rPr>
                      <w:rFonts w:eastAsia="Times New Roman"/>
                      <w:color w:val="000000"/>
                      <w:szCs w:val="20"/>
                      <w:lang w:eastAsia="en-AU"/>
                    </w:rPr>
                  </w:pPr>
                  <w:r w:rsidRPr="00B41307">
                    <w:rPr>
                      <w:rFonts w:eastAsia="Times New Roman"/>
                      <w:color w:val="000000"/>
                      <w:szCs w:val="20"/>
                      <w:lang w:eastAsia="en-AU"/>
                    </w:rPr>
                    <w:t>Moderate</w:t>
                  </w:r>
                </w:p>
              </w:tc>
            </w:tr>
            <w:tr w:rsidR="005A5E95" w:rsidRPr="007F183D" w14:paraId="2253B325" w14:textId="77777777" w:rsidTr="00AF5F36">
              <w:trPr>
                <w:trHeight w:val="300"/>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14:paraId="649C036B" w14:textId="77777777" w:rsidR="005A5E95" w:rsidRPr="00B41307" w:rsidRDefault="005A5E95" w:rsidP="005A5E95">
                  <w:pPr>
                    <w:widowControl/>
                    <w:autoSpaceDE/>
                    <w:autoSpaceDN/>
                    <w:jc w:val="left"/>
                    <w:rPr>
                      <w:rFonts w:eastAsia="Times New Roman"/>
                      <w:color w:val="000000"/>
                      <w:szCs w:val="20"/>
                      <w:lang w:eastAsia="en-AU"/>
                    </w:rPr>
                  </w:pPr>
                  <w:r w:rsidRPr="00B41307">
                    <w:rPr>
                      <w:rFonts w:eastAsia="Times New Roman"/>
                      <w:color w:val="000000"/>
                      <w:szCs w:val="20"/>
                      <w:lang w:eastAsia="en-AU"/>
                    </w:rPr>
                    <w:t>831211</w:t>
                  </w:r>
                </w:p>
              </w:tc>
              <w:tc>
                <w:tcPr>
                  <w:tcW w:w="3119" w:type="dxa"/>
                  <w:tcBorders>
                    <w:top w:val="nil"/>
                    <w:left w:val="nil"/>
                    <w:bottom w:val="single" w:sz="4" w:space="0" w:color="auto"/>
                    <w:right w:val="single" w:sz="4" w:space="0" w:color="auto"/>
                  </w:tcBorders>
                  <w:shd w:val="clear" w:color="auto" w:fill="auto"/>
                  <w:noWrap/>
                  <w:vAlign w:val="center"/>
                  <w:hideMark/>
                </w:tcPr>
                <w:p w14:paraId="503C19DB" w14:textId="77777777" w:rsidR="005A5E95" w:rsidRPr="00B41307" w:rsidRDefault="005A5E95" w:rsidP="005A5E95">
                  <w:pPr>
                    <w:widowControl/>
                    <w:autoSpaceDE/>
                    <w:autoSpaceDN/>
                    <w:jc w:val="left"/>
                    <w:rPr>
                      <w:rFonts w:eastAsia="Times New Roman"/>
                      <w:color w:val="000000"/>
                      <w:szCs w:val="20"/>
                      <w:lang w:eastAsia="en-AU"/>
                    </w:rPr>
                  </w:pPr>
                  <w:r w:rsidRPr="00B41307">
                    <w:rPr>
                      <w:rFonts w:eastAsia="Times New Roman"/>
                      <w:color w:val="000000"/>
                      <w:szCs w:val="20"/>
                      <w:lang w:eastAsia="en-AU"/>
                    </w:rPr>
                    <w:t>Meat Boner and Slicer</w:t>
                  </w:r>
                </w:p>
              </w:tc>
              <w:tc>
                <w:tcPr>
                  <w:tcW w:w="2806" w:type="dxa"/>
                  <w:tcBorders>
                    <w:top w:val="nil"/>
                    <w:left w:val="nil"/>
                    <w:bottom w:val="single" w:sz="4" w:space="0" w:color="auto"/>
                    <w:right w:val="single" w:sz="4" w:space="0" w:color="auto"/>
                  </w:tcBorders>
                  <w:shd w:val="clear" w:color="auto" w:fill="auto"/>
                  <w:noWrap/>
                  <w:vAlign w:val="center"/>
                  <w:hideMark/>
                </w:tcPr>
                <w:p w14:paraId="2CB8B54F" w14:textId="77777777" w:rsidR="005A5E95" w:rsidRPr="00B41307" w:rsidRDefault="005A5E95" w:rsidP="005A5E95">
                  <w:pPr>
                    <w:widowControl/>
                    <w:autoSpaceDE/>
                    <w:autoSpaceDN/>
                    <w:jc w:val="left"/>
                    <w:rPr>
                      <w:rFonts w:eastAsia="Times New Roman"/>
                      <w:color w:val="000000"/>
                      <w:szCs w:val="20"/>
                      <w:lang w:eastAsia="en-AU"/>
                    </w:rPr>
                  </w:pPr>
                  <w:r w:rsidRPr="00B41307">
                    <w:rPr>
                      <w:rFonts w:eastAsia="Times New Roman"/>
                      <w:color w:val="000000"/>
                      <w:szCs w:val="20"/>
                      <w:lang w:eastAsia="en-AU"/>
                    </w:rPr>
                    <w:t>No</w:t>
                  </w:r>
                </w:p>
              </w:tc>
              <w:tc>
                <w:tcPr>
                  <w:tcW w:w="1169" w:type="dxa"/>
                  <w:tcBorders>
                    <w:top w:val="nil"/>
                    <w:left w:val="nil"/>
                    <w:bottom w:val="single" w:sz="4" w:space="0" w:color="auto"/>
                    <w:right w:val="single" w:sz="4" w:space="0" w:color="auto"/>
                  </w:tcBorders>
                  <w:shd w:val="clear" w:color="auto" w:fill="auto"/>
                  <w:noWrap/>
                  <w:vAlign w:val="center"/>
                  <w:hideMark/>
                </w:tcPr>
                <w:p w14:paraId="45106DDE" w14:textId="77777777" w:rsidR="005A5E95" w:rsidRPr="00B41307" w:rsidRDefault="005A5E95" w:rsidP="005A5E95">
                  <w:pPr>
                    <w:widowControl/>
                    <w:autoSpaceDE/>
                    <w:autoSpaceDN/>
                    <w:jc w:val="left"/>
                    <w:rPr>
                      <w:rFonts w:eastAsia="Times New Roman"/>
                      <w:color w:val="000000"/>
                      <w:szCs w:val="20"/>
                      <w:lang w:eastAsia="en-AU"/>
                    </w:rPr>
                  </w:pPr>
                  <w:r w:rsidRPr="00B41307">
                    <w:rPr>
                      <w:rFonts w:eastAsia="Times New Roman"/>
                      <w:color w:val="000000"/>
                      <w:szCs w:val="20"/>
                      <w:lang w:eastAsia="en-AU"/>
                    </w:rPr>
                    <w:t>Moderate</w:t>
                  </w:r>
                </w:p>
              </w:tc>
            </w:tr>
            <w:tr w:rsidR="005A5E95" w:rsidRPr="007F183D" w14:paraId="2E785F5C" w14:textId="77777777" w:rsidTr="00AF5F36">
              <w:trPr>
                <w:trHeight w:val="300"/>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14:paraId="000C4F96" w14:textId="77777777" w:rsidR="005A5E95" w:rsidRPr="00B41307" w:rsidRDefault="005A5E95" w:rsidP="005A5E95">
                  <w:pPr>
                    <w:widowControl/>
                    <w:autoSpaceDE/>
                    <w:autoSpaceDN/>
                    <w:jc w:val="left"/>
                    <w:rPr>
                      <w:rFonts w:eastAsia="Times New Roman"/>
                      <w:color w:val="000000"/>
                      <w:szCs w:val="20"/>
                      <w:lang w:eastAsia="en-AU"/>
                    </w:rPr>
                  </w:pPr>
                  <w:r w:rsidRPr="00B41307">
                    <w:rPr>
                      <w:rFonts w:eastAsia="Times New Roman"/>
                      <w:color w:val="000000"/>
                      <w:szCs w:val="20"/>
                      <w:lang w:eastAsia="en-AU"/>
                    </w:rPr>
                    <w:t>831212</w:t>
                  </w:r>
                </w:p>
              </w:tc>
              <w:tc>
                <w:tcPr>
                  <w:tcW w:w="3119" w:type="dxa"/>
                  <w:tcBorders>
                    <w:top w:val="nil"/>
                    <w:left w:val="nil"/>
                    <w:bottom w:val="single" w:sz="4" w:space="0" w:color="auto"/>
                    <w:right w:val="single" w:sz="4" w:space="0" w:color="auto"/>
                  </w:tcBorders>
                  <w:shd w:val="clear" w:color="auto" w:fill="auto"/>
                  <w:noWrap/>
                  <w:vAlign w:val="center"/>
                  <w:hideMark/>
                </w:tcPr>
                <w:p w14:paraId="7355E95B" w14:textId="77777777" w:rsidR="005A5E95" w:rsidRPr="00B41307" w:rsidRDefault="005A5E95" w:rsidP="005A5E95">
                  <w:pPr>
                    <w:widowControl/>
                    <w:autoSpaceDE/>
                    <w:autoSpaceDN/>
                    <w:jc w:val="left"/>
                    <w:rPr>
                      <w:rFonts w:eastAsia="Times New Roman"/>
                      <w:color w:val="000000"/>
                      <w:szCs w:val="20"/>
                      <w:lang w:eastAsia="en-AU"/>
                    </w:rPr>
                  </w:pPr>
                  <w:r w:rsidRPr="00B41307">
                    <w:rPr>
                      <w:rFonts w:eastAsia="Times New Roman"/>
                      <w:color w:val="000000"/>
                      <w:szCs w:val="20"/>
                      <w:lang w:eastAsia="en-AU"/>
                    </w:rPr>
                    <w:t>Slaughterer</w:t>
                  </w:r>
                </w:p>
              </w:tc>
              <w:tc>
                <w:tcPr>
                  <w:tcW w:w="2806" w:type="dxa"/>
                  <w:tcBorders>
                    <w:top w:val="nil"/>
                    <w:left w:val="nil"/>
                    <w:bottom w:val="single" w:sz="4" w:space="0" w:color="auto"/>
                    <w:right w:val="single" w:sz="4" w:space="0" w:color="auto"/>
                  </w:tcBorders>
                  <w:shd w:val="clear" w:color="auto" w:fill="auto"/>
                  <w:noWrap/>
                  <w:vAlign w:val="center"/>
                  <w:hideMark/>
                </w:tcPr>
                <w:p w14:paraId="41E64D48" w14:textId="77777777" w:rsidR="005A5E95" w:rsidRPr="00B41307" w:rsidRDefault="005A5E95" w:rsidP="005A5E95">
                  <w:pPr>
                    <w:widowControl/>
                    <w:autoSpaceDE/>
                    <w:autoSpaceDN/>
                    <w:jc w:val="left"/>
                    <w:rPr>
                      <w:rFonts w:eastAsia="Times New Roman"/>
                      <w:color w:val="000000"/>
                      <w:szCs w:val="20"/>
                      <w:lang w:eastAsia="en-AU"/>
                    </w:rPr>
                  </w:pPr>
                  <w:r w:rsidRPr="00B41307">
                    <w:rPr>
                      <w:rFonts w:eastAsia="Times New Roman"/>
                      <w:color w:val="000000"/>
                      <w:szCs w:val="20"/>
                      <w:lang w:eastAsia="en-AU"/>
                    </w:rPr>
                    <w:t>No</w:t>
                  </w:r>
                </w:p>
              </w:tc>
              <w:tc>
                <w:tcPr>
                  <w:tcW w:w="1169" w:type="dxa"/>
                  <w:tcBorders>
                    <w:top w:val="nil"/>
                    <w:left w:val="nil"/>
                    <w:bottom w:val="single" w:sz="4" w:space="0" w:color="auto"/>
                    <w:right w:val="single" w:sz="4" w:space="0" w:color="auto"/>
                  </w:tcBorders>
                  <w:shd w:val="clear" w:color="auto" w:fill="auto"/>
                  <w:noWrap/>
                  <w:vAlign w:val="center"/>
                  <w:hideMark/>
                </w:tcPr>
                <w:p w14:paraId="3B2FA922" w14:textId="77777777" w:rsidR="005A5E95" w:rsidRPr="00B41307" w:rsidRDefault="005A5E95" w:rsidP="005A5E95">
                  <w:pPr>
                    <w:widowControl/>
                    <w:autoSpaceDE/>
                    <w:autoSpaceDN/>
                    <w:jc w:val="left"/>
                    <w:rPr>
                      <w:rFonts w:eastAsia="Times New Roman"/>
                      <w:color w:val="000000"/>
                      <w:szCs w:val="20"/>
                      <w:lang w:eastAsia="en-AU"/>
                    </w:rPr>
                  </w:pPr>
                  <w:r w:rsidRPr="00B41307">
                    <w:rPr>
                      <w:rFonts w:eastAsia="Times New Roman"/>
                      <w:color w:val="000000"/>
                      <w:szCs w:val="20"/>
                      <w:lang w:eastAsia="en-AU"/>
                    </w:rPr>
                    <w:t>Moderate</w:t>
                  </w:r>
                </w:p>
              </w:tc>
            </w:tr>
          </w:tbl>
          <w:p w14:paraId="6BA3C89B" w14:textId="77777777" w:rsidR="005A5E95" w:rsidRDefault="005A5E95" w:rsidP="005A5E95">
            <w:pPr>
              <w:pStyle w:val="TableInside"/>
            </w:pPr>
          </w:p>
        </w:tc>
      </w:tr>
      <w:tr w:rsidR="005A5E95" w14:paraId="2F9A85FF" w14:textId="77777777" w:rsidTr="002D0D12">
        <w:trPr>
          <w:trHeight w:val="392"/>
        </w:trPr>
        <w:tc>
          <w:tcPr>
            <w:tcW w:w="9350" w:type="dxa"/>
          </w:tcPr>
          <w:p w14:paraId="7A4E7990" w14:textId="399E9ECB" w:rsidR="005A5E95" w:rsidRDefault="005A5E95" w:rsidP="002D0D12">
            <w:pPr>
              <w:pStyle w:val="TableSource"/>
              <w:spacing w:after="0"/>
            </w:pPr>
            <w:r>
              <w:t xml:space="preserve">Source: </w:t>
            </w:r>
            <w:r w:rsidRPr="005A5E95">
              <w:t>National Skills Commission (2021); Skills Priority List</w:t>
            </w:r>
          </w:p>
        </w:tc>
      </w:tr>
    </w:tbl>
    <w:p w14:paraId="4AC836B1" w14:textId="77777777" w:rsidR="002D0D12" w:rsidRDefault="002D0D12" w:rsidP="00760FEB"/>
    <w:p w14:paraId="399EB782" w14:textId="4BDBD005" w:rsidR="00760FEB" w:rsidRDefault="00760FEB" w:rsidP="00760FEB">
      <w:r w:rsidRPr="00337437">
        <w:t xml:space="preserve">Meat </w:t>
      </w:r>
      <w:r w:rsidR="007571F5">
        <w:t>i</w:t>
      </w:r>
      <w:r w:rsidRPr="00337437">
        <w:t xml:space="preserve">ndustry </w:t>
      </w:r>
      <w:r w:rsidR="007571F5">
        <w:t>l</w:t>
      </w:r>
      <w:r w:rsidRPr="00337437">
        <w:t xml:space="preserve">abour </w:t>
      </w:r>
      <w:r w:rsidR="007571F5">
        <w:t>s</w:t>
      </w:r>
      <w:r w:rsidRPr="00337437">
        <w:t>hortages</w:t>
      </w:r>
      <w:r w:rsidR="007571F5">
        <w:t xml:space="preserve"> have further been evidenced in </w:t>
      </w:r>
      <w:r w:rsidR="004A705B">
        <w:t xml:space="preserve">results from </w:t>
      </w:r>
      <w:r w:rsidR="002A043B">
        <w:t>a</w:t>
      </w:r>
      <w:r w:rsidRPr="00E73C2A">
        <w:t xml:space="preserve"> </w:t>
      </w:r>
      <w:r w:rsidR="002A043B">
        <w:t xml:space="preserve">stakeholder survey conducted </w:t>
      </w:r>
      <w:r w:rsidR="00BE1E70">
        <w:t xml:space="preserve">in February 2022 </w:t>
      </w:r>
      <w:r w:rsidR="002A043B">
        <w:t xml:space="preserve">by </w:t>
      </w:r>
      <w:r w:rsidR="00BE1E70">
        <w:t xml:space="preserve">the </w:t>
      </w:r>
      <w:r w:rsidRPr="00E73C2A">
        <w:t>Australian Meat Industry Council</w:t>
      </w:r>
      <w:r>
        <w:t xml:space="preserve"> (AMIC)</w:t>
      </w:r>
      <w:r w:rsidR="002A043B">
        <w:t>.</w:t>
      </w:r>
      <w:r>
        <w:t xml:space="preserve"> </w:t>
      </w:r>
      <w:r w:rsidR="00BE1E70">
        <w:t xml:space="preserve">The survey sought </w:t>
      </w:r>
      <w:r>
        <w:t>to establish the extent of industry labour shortages and reasons for them. Results included:</w:t>
      </w:r>
    </w:p>
    <w:p w14:paraId="18F2CA99" w14:textId="77777777" w:rsidR="00760FEB" w:rsidRPr="009371D6" w:rsidRDefault="00760FEB" w:rsidP="00760FEB">
      <w:pPr>
        <w:pStyle w:val="ListBullet"/>
        <w:numPr>
          <w:ilvl w:val="0"/>
          <w:numId w:val="1"/>
        </w:numPr>
        <w:ind w:left="714" w:hanging="357"/>
        <w:rPr>
          <w:szCs w:val="20"/>
        </w:rPr>
      </w:pPr>
      <w:r w:rsidRPr="009371D6">
        <w:rPr>
          <w:szCs w:val="20"/>
        </w:rPr>
        <w:t>Current operating capacity of businesses:</w:t>
      </w:r>
    </w:p>
    <w:p w14:paraId="3553174A" w14:textId="77777777" w:rsidR="00760FEB" w:rsidRPr="009371D6" w:rsidRDefault="00760FEB" w:rsidP="00760FEB">
      <w:pPr>
        <w:pStyle w:val="Sub-Bullet"/>
        <w:numPr>
          <w:ilvl w:val="1"/>
          <w:numId w:val="2"/>
        </w:numPr>
        <w:rPr>
          <w:szCs w:val="20"/>
        </w:rPr>
      </w:pPr>
      <w:r w:rsidRPr="009371D6">
        <w:rPr>
          <w:szCs w:val="20"/>
        </w:rPr>
        <w:t>Two-thirds of meat/smallgoods processors are operating below 80% capacity</w:t>
      </w:r>
    </w:p>
    <w:p w14:paraId="4FB14534" w14:textId="28D08363" w:rsidR="00760FEB" w:rsidRPr="009371D6" w:rsidRDefault="00760FEB" w:rsidP="00760FEB">
      <w:pPr>
        <w:pStyle w:val="Sub-Sub-Bullet"/>
        <w:numPr>
          <w:ilvl w:val="2"/>
          <w:numId w:val="2"/>
        </w:numPr>
        <w:rPr>
          <w:szCs w:val="20"/>
        </w:rPr>
      </w:pPr>
      <w:r w:rsidRPr="009371D6">
        <w:rPr>
          <w:szCs w:val="20"/>
        </w:rPr>
        <w:t>Around one-quarter of meat/smallgoods processors are only operating at 50-60% capacity</w:t>
      </w:r>
      <w:r w:rsidR="003218AE">
        <w:rPr>
          <w:szCs w:val="20"/>
        </w:rPr>
        <w:t>.</w:t>
      </w:r>
    </w:p>
    <w:p w14:paraId="5EB8B521" w14:textId="624D31E6" w:rsidR="00760FEB" w:rsidRPr="009371D6" w:rsidRDefault="00760FEB" w:rsidP="00760FEB">
      <w:pPr>
        <w:pStyle w:val="Sub-Bullet"/>
        <w:numPr>
          <w:ilvl w:val="1"/>
          <w:numId w:val="2"/>
        </w:numPr>
        <w:rPr>
          <w:szCs w:val="20"/>
        </w:rPr>
      </w:pPr>
      <w:r w:rsidRPr="009371D6">
        <w:rPr>
          <w:szCs w:val="20"/>
        </w:rPr>
        <w:t>Almost half of retail butchers are operating below 80% capacity</w:t>
      </w:r>
      <w:r w:rsidR="003218AE">
        <w:rPr>
          <w:szCs w:val="20"/>
        </w:rPr>
        <w:t>.</w:t>
      </w:r>
    </w:p>
    <w:p w14:paraId="6F0999A3" w14:textId="77777777" w:rsidR="00760FEB" w:rsidRPr="009371D6" w:rsidRDefault="00760FEB" w:rsidP="00760FEB">
      <w:pPr>
        <w:pStyle w:val="ListBullet"/>
        <w:numPr>
          <w:ilvl w:val="0"/>
          <w:numId w:val="1"/>
        </w:numPr>
        <w:ind w:left="714" w:hanging="357"/>
        <w:rPr>
          <w:szCs w:val="20"/>
        </w:rPr>
      </w:pPr>
      <w:r w:rsidRPr="009371D6">
        <w:rPr>
          <w:szCs w:val="20"/>
        </w:rPr>
        <w:t>Current gap in skilled workers:</w:t>
      </w:r>
    </w:p>
    <w:p w14:paraId="5E57FC92" w14:textId="26AB3C98" w:rsidR="00760FEB" w:rsidRPr="009371D6" w:rsidRDefault="00760FEB" w:rsidP="00760FEB">
      <w:pPr>
        <w:pStyle w:val="Sub-Bullet"/>
        <w:numPr>
          <w:ilvl w:val="1"/>
          <w:numId w:val="2"/>
        </w:numPr>
        <w:rPr>
          <w:szCs w:val="20"/>
        </w:rPr>
      </w:pPr>
      <w:r w:rsidRPr="009371D6">
        <w:rPr>
          <w:szCs w:val="20"/>
        </w:rPr>
        <w:t>For meat/smallgoods processors to operate at full capacity, businesses would require an average of</w:t>
      </w:r>
      <w:r w:rsidR="004E51AB">
        <w:rPr>
          <w:szCs w:val="20"/>
        </w:rPr>
        <w:t xml:space="preserve"> an</w:t>
      </w:r>
      <w:r w:rsidRPr="009371D6">
        <w:rPr>
          <w:szCs w:val="20"/>
        </w:rPr>
        <w:t xml:space="preserve"> </w:t>
      </w:r>
      <w:r w:rsidR="00A85695" w:rsidRPr="009371D6">
        <w:rPr>
          <w:szCs w:val="20"/>
        </w:rPr>
        <w:t xml:space="preserve">additional </w:t>
      </w:r>
      <w:r w:rsidR="004E51AB">
        <w:rPr>
          <w:szCs w:val="20"/>
        </w:rPr>
        <w:t>three (3)</w:t>
      </w:r>
      <w:r w:rsidR="00A85695">
        <w:rPr>
          <w:szCs w:val="20"/>
        </w:rPr>
        <w:t xml:space="preserve"> leading hands/supervisors, </w:t>
      </w:r>
      <w:r w:rsidRPr="009371D6">
        <w:rPr>
          <w:szCs w:val="20"/>
        </w:rPr>
        <w:t>26 skilled workers</w:t>
      </w:r>
      <w:r w:rsidR="004E51AB">
        <w:rPr>
          <w:szCs w:val="20"/>
        </w:rPr>
        <w:t xml:space="preserve"> and 35 </w:t>
      </w:r>
      <w:r w:rsidR="004E51AB">
        <w:rPr>
          <w:szCs w:val="20"/>
        </w:rPr>
        <w:lastRenderedPageBreak/>
        <w:t>general labourers</w:t>
      </w:r>
      <w:r w:rsidR="003218AE">
        <w:rPr>
          <w:szCs w:val="20"/>
        </w:rPr>
        <w:t>.</w:t>
      </w:r>
    </w:p>
    <w:p w14:paraId="70815EB4" w14:textId="168D1956" w:rsidR="00760FEB" w:rsidRPr="009371D6" w:rsidRDefault="00760FEB" w:rsidP="00760FEB">
      <w:pPr>
        <w:pStyle w:val="Sub-Bullet"/>
        <w:numPr>
          <w:ilvl w:val="1"/>
          <w:numId w:val="2"/>
        </w:numPr>
        <w:rPr>
          <w:szCs w:val="20"/>
        </w:rPr>
      </w:pPr>
      <w:r w:rsidRPr="009371D6">
        <w:rPr>
          <w:szCs w:val="20"/>
        </w:rPr>
        <w:t xml:space="preserve">For retail butchers to operate at full capacity, businesses would require an average of </w:t>
      </w:r>
      <w:r w:rsidR="004E51AB">
        <w:rPr>
          <w:szCs w:val="20"/>
        </w:rPr>
        <w:t xml:space="preserve">an </w:t>
      </w:r>
      <w:r w:rsidR="004E51AB" w:rsidRPr="009371D6">
        <w:rPr>
          <w:szCs w:val="20"/>
        </w:rPr>
        <w:t xml:space="preserve">additional </w:t>
      </w:r>
      <w:r w:rsidRPr="009371D6">
        <w:rPr>
          <w:szCs w:val="20"/>
        </w:rPr>
        <w:t>four</w:t>
      </w:r>
      <w:r w:rsidR="004E51AB">
        <w:rPr>
          <w:szCs w:val="20"/>
        </w:rPr>
        <w:t xml:space="preserve"> (4)</w:t>
      </w:r>
      <w:r w:rsidRPr="009371D6">
        <w:rPr>
          <w:szCs w:val="20"/>
        </w:rPr>
        <w:t xml:space="preserve"> qualified retail butchers</w:t>
      </w:r>
      <w:r w:rsidR="004E51AB">
        <w:rPr>
          <w:szCs w:val="20"/>
        </w:rPr>
        <w:t>, four (4) customer service workers or labourers, and one (1) smallgoods maker</w:t>
      </w:r>
      <w:r w:rsidR="003218AE">
        <w:rPr>
          <w:szCs w:val="20"/>
        </w:rPr>
        <w:t>.</w:t>
      </w:r>
    </w:p>
    <w:p w14:paraId="2E1B0E49" w14:textId="77777777" w:rsidR="00760FEB" w:rsidRPr="009371D6" w:rsidRDefault="00760FEB" w:rsidP="00760FEB">
      <w:pPr>
        <w:pStyle w:val="ListBullet"/>
        <w:numPr>
          <w:ilvl w:val="0"/>
          <w:numId w:val="1"/>
        </w:numPr>
        <w:ind w:left="714" w:hanging="357"/>
        <w:rPr>
          <w:szCs w:val="20"/>
        </w:rPr>
      </w:pPr>
      <w:r w:rsidRPr="009371D6">
        <w:rPr>
          <w:szCs w:val="20"/>
        </w:rPr>
        <w:t>Labour shortage reasons:</w:t>
      </w:r>
    </w:p>
    <w:p w14:paraId="5EFFD9C3" w14:textId="77777777" w:rsidR="00760FEB" w:rsidRPr="009371D6" w:rsidRDefault="00760FEB" w:rsidP="00760FEB">
      <w:pPr>
        <w:pStyle w:val="Sub-Bullet"/>
        <w:numPr>
          <w:ilvl w:val="1"/>
          <w:numId w:val="2"/>
        </w:numPr>
        <w:rPr>
          <w:szCs w:val="20"/>
        </w:rPr>
      </w:pPr>
      <w:bookmarkStart w:id="45" w:name="_Hlk107409432"/>
      <w:r w:rsidRPr="009371D6">
        <w:rPr>
          <w:szCs w:val="20"/>
        </w:rPr>
        <w:t>A general unwillingness to work in the industry</w:t>
      </w:r>
    </w:p>
    <w:p w14:paraId="1852067A" w14:textId="77777777" w:rsidR="00760FEB" w:rsidRPr="009371D6" w:rsidRDefault="00760FEB" w:rsidP="00760FEB">
      <w:pPr>
        <w:pStyle w:val="Sub-Sub-Bullet"/>
        <w:numPr>
          <w:ilvl w:val="2"/>
          <w:numId w:val="2"/>
        </w:numPr>
        <w:rPr>
          <w:szCs w:val="20"/>
        </w:rPr>
      </w:pPr>
      <w:r w:rsidRPr="009371D6">
        <w:rPr>
          <w:szCs w:val="20"/>
        </w:rPr>
        <w:t>Meat/smallgoods processors: 85%</w:t>
      </w:r>
    </w:p>
    <w:p w14:paraId="1DCF3ABB" w14:textId="77777777" w:rsidR="00760FEB" w:rsidRPr="009371D6" w:rsidRDefault="00760FEB" w:rsidP="00760FEB">
      <w:pPr>
        <w:pStyle w:val="Sub-Sub-Bullet"/>
        <w:numPr>
          <w:ilvl w:val="2"/>
          <w:numId w:val="2"/>
        </w:numPr>
        <w:rPr>
          <w:szCs w:val="20"/>
        </w:rPr>
      </w:pPr>
      <w:r w:rsidRPr="009371D6">
        <w:rPr>
          <w:szCs w:val="20"/>
        </w:rPr>
        <w:t>Retail butchers: 81%</w:t>
      </w:r>
    </w:p>
    <w:p w14:paraId="320CEB8E" w14:textId="77777777" w:rsidR="00760FEB" w:rsidRPr="009371D6" w:rsidRDefault="00760FEB" w:rsidP="00760FEB">
      <w:pPr>
        <w:pStyle w:val="Sub-Bullet"/>
        <w:numPr>
          <w:ilvl w:val="1"/>
          <w:numId w:val="2"/>
        </w:numPr>
        <w:rPr>
          <w:szCs w:val="20"/>
        </w:rPr>
      </w:pPr>
      <w:r w:rsidRPr="009371D6">
        <w:rPr>
          <w:szCs w:val="20"/>
        </w:rPr>
        <w:t>Other business and employment opportunities locally are more appealing</w:t>
      </w:r>
    </w:p>
    <w:p w14:paraId="34B57556" w14:textId="77777777" w:rsidR="00760FEB" w:rsidRPr="009371D6" w:rsidRDefault="00760FEB" w:rsidP="00760FEB">
      <w:pPr>
        <w:pStyle w:val="Sub-Sub-Bullet"/>
        <w:numPr>
          <w:ilvl w:val="2"/>
          <w:numId w:val="2"/>
        </w:numPr>
        <w:rPr>
          <w:szCs w:val="20"/>
        </w:rPr>
      </w:pPr>
      <w:r w:rsidRPr="009371D6">
        <w:rPr>
          <w:szCs w:val="20"/>
        </w:rPr>
        <w:t>Meat/smallgoods processors: 63%</w:t>
      </w:r>
    </w:p>
    <w:p w14:paraId="30633A69" w14:textId="77777777" w:rsidR="00760FEB" w:rsidRPr="009371D6" w:rsidRDefault="00760FEB" w:rsidP="00760FEB">
      <w:pPr>
        <w:pStyle w:val="Sub-Sub-Bullet"/>
        <w:numPr>
          <w:ilvl w:val="2"/>
          <w:numId w:val="2"/>
        </w:numPr>
        <w:rPr>
          <w:szCs w:val="20"/>
        </w:rPr>
      </w:pPr>
      <w:r w:rsidRPr="009371D6">
        <w:rPr>
          <w:szCs w:val="20"/>
        </w:rPr>
        <w:t>Retail butchers: 33%</w:t>
      </w:r>
    </w:p>
    <w:p w14:paraId="69C4A3A3" w14:textId="77777777" w:rsidR="00760FEB" w:rsidRPr="009371D6" w:rsidRDefault="00760FEB" w:rsidP="00760FEB">
      <w:pPr>
        <w:pStyle w:val="Sub-Bullet"/>
        <w:numPr>
          <w:ilvl w:val="1"/>
          <w:numId w:val="2"/>
        </w:numPr>
        <w:rPr>
          <w:szCs w:val="20"/>
        </w:rPr>
      </w:pPr>
      <w:r w:rsidRPr="009371D6">
        <w:rPr>
          <w:szCs w:val="20"/>
        </w:rPr>
        <w:t>A lack of international worker availability</w:t>
      </w:r>
    </w:p>
    <w:p w14:paraId="37C687B8" w14:textId="77777777" w:rsidR="00760FEB" w:rsidRPr="009371D6" w:rsidRDefault="00760FEB" w:rsidP="00760FEB">
      <w:pPr>
        <w:pStyle w:val="Sub-Sub-Bullet"/>
        <w:numPr>
          <w:ilvl w:val="2"/>
          <w:numId w:val="2"/>
        </w:numPr>
        <w:rPr>
          <w:szCs w:val="20"/>
        </w:rPr>
      </w:pPr>
      <w:r w:rsidRPr="009371D6">
        <w:rPr>
          <w:szCs w:val="20"/>
        </w:rPr>
        <w:t>Meat/smallgoods processors: 80%</w:t>
      </w:r>
    </w:p>
    <w:p w14:paraId="56518013" w14:textId="77777777" w:rsidR="00760FEB" w:rsidRPr="009371D6" w:rsidRDefault="00760FEB" w:rsidP="00760FEB">
      <w:pPr>
        <w:pStyle w:val="Sub-Sub-Bullet"/>
        <w:numPr>
          <w:ilvl w:val="2"/>
          <w:numId w:val="2"/>
        </w:numPr>
        <w:rPr>
          <w:szCs w:val="20"/>
        </w:rPr>
      </w:pPr>
      <w:r w:rsidRPr="009371D6">
        <w:rPr>
          <w:szCs w:val="20"/>
        </w:rPr>
        <w:t>Retail butchers: 11%</w:t>
      </w:r>
    </w:p>
    <w:p w14:paraId="0FAB37C4" w14:textId="77777777" w:rsidR="00760FEB" w:rsidRPr="009371D6" w:rsidRDefault="00760FEB" w:rsidP="00760FEB">
      <w:pPr>
        <w:pStyle w:val="Sub-Bullet"/>
        <w:numPr>
          <w:ilvl w:val="1"/>
          <w:numId w:val="2"/>
        </w:numPr>
        <w:rPr>
          <w:szCs w:val="20"/>
        </w:rPr>
      </w:pPr>
      <w:r w:rsidRPr="009371D6">
        <w:rPr>
          <w:szCs w:val="20"/>
        </w:rPr>
        <w:t>Failure to pass pre-employment medical requirements</w:t>
      </w:r>
    </w:p>
    <w:p w14:paraId="36870C08" w14:textId="77777777" w:rsidR="00760FEB" w:rsidRPr="009371D6" w:rsidRDefault="00760FEB" w:rsidP="00760FEB">
      <w:pPr>
        <w:pStyle w:val="Sub-Sub-Bullet"/>
        <w:numPr>
          <w:ilvl w:val="2"/>
          <w:numId w:val="2"/>
        </w:numPr>
        <w:rPr>
          <w:szCs w:val="20"/>
        </w:rPr>
      </w:pPr>
      <w:r w:rsidRPr="009371D6">
        <w:rPr>
          <w:szCs w:val="20"/>
        </w:rPr>
        <w:t>Meat/smallgoods processors: 20%</w:t>
      </w:r>
    </w:p>
    <w:p w14:paraId="75E560BA" w14:textId="77777777" w:rsidR="00760FEB" w:rsidRPr="009371D6" w:rsidRDefault="00760FEB" w:rsidP="00760FEB">
      <w:pPr>
        <w:pStyle w:val="Sub-Sub-Bullet"/>
        <w:numPr>
          <w:ilvl w:val="2"/>
          <w:numId w:val="2"/>
        </w:numPr>
        <w:rPr>
          <w:szCs w:val="20"/>
        </w:rPr>
      </w:pPr>
      <w:r w:rsidRPr="009371D6">
        <w:rPr>
          <w:szCs w:val="20"/>
        </w:rPr>
        <w:t>Retail butchers: 5%</w:t>
      </w:r>
    </w:p>
    <w:p w14:paraId="7BBCA6E5" w14:textId="77777777" w:rsidR="00760FEB" w:rsidRPr="009371D6" w:rsidRDefault="00760FEB" w:rsidP="00760FEB">
      <w:pPr>
        <w:pStyle w:val="Sub-Bullet"/>
        <w:numPr>
          <w:ilvl w:val="1"/>
          <w:numId w:val="2"/>
        </w:numPr>
        <w:rPr>
          <w:szCs w:val="20"/>
        </w:rPr>
      </w:pPr>
      <w:r w:rsidRPr="009371D6">
        <w:rPr>
          <w:szCs w:val="20"/>
        </w:rPr>
        <w:t>Low unemployment in the region</w:t>
      </w:r>
    </w:p>
    <w:p w14:paraId="0F5B8B9E" w14:textId="77777777" w:rsidR="00760FEB" w:rsidRPr="009371D6" w:rsidRDefault="00760FEB" w:rsidP="00760FEB">
      <w:pPr>
        <w:pStyle w:val="Sub-Sub-Bullet"/>
        <w:numPr>
          <w:ilvl w:val="2"/>
          <w:numId w:val="2"/>
        </w:numPr>
        <w:rPr>
          <w:szCs w:val="20"/>
        </w:rPr>
      </w:pPr>
      <w:r w:rsidRPr="009371D6">
        <w:rPr>
          <w:szCs w:val="20"/>
        </w:rPr>
        <w:t>Meat/smallgoods processors: 27%</w:t>
      </w:r>
    </w:p>
    <w:p w14:paraId="4607D995" w14:textId="77777777" w:rsidR="00760FEB" w:rsidRPr="009371D6" w:rsidRDefault="00760FEB" w:rsidP="00760FEB">
      <w:pPr>
        <w:pStyle w:val="Sub-Sub-Bullet"/>
        <w:numPr>
          <w:ilvl w:val="2"/>
          <w:numId w:val="2"/>
        </w:numPr>
        <w:spacing w:after="360"/>
        <w:ind w:left="2154" w:hanging="357"/>
        <w:rPr>
          <w:szCs w:val="20"/>
        </w:rPr>
      </w:pPr>
      <w:r w:rsidRPr="009371D6">
        <w:rPr>
          <w:szCs w:val="20"/>
        </w:rPr>
        <w:t>Retail butchers: 2%</w:t>
      </w:r>
    </w:p>
    <w:bookmarkEnd w:id="45"/>
    <w:p w14:paraId="5D0949A7" w14:textId="37BFCF31" w:rsidR="006F56A3" w:rsidRDefault="00760FEB" w:rsidP="00171CA4">
      <w:pPr>
        <w:rPr>
          <w:szCs w:val="20"/>
        </w:rPr>
      </w:pPr>
      <w:r w:rsidRPr="009371D6">
        <w:rPr>
          <w:szCs w:val="20"/>
        </w:rPr>
        <w:t>AMIC is calling for urgent action by federal and state governments to protect vulnerable food supply chains across Australia, as COVID-19 continues to force essential workers to stay home and businesses to temporarily close or operate at very low staffing levels</w:t>
      </w:r>
      <w:r w:rsidRPr="009371D6">
        <w:rPr>
          <w:rStyle w:val="FootnoteReference"/>
          <w:sz w:val="20"/>
          <w:szCs w:val="20"/>
        </w:rPr>
        <w:footnoteReference w:id="49"/>
      </w:r>
      <w:r w:rsidRPr="009371D6">
        <w:rPr>
          <w:szCs w:val="20"/>
        </w:rPr>
        <w:t>.</w:t>
      </w:r>
      <w:r w:rsidR="00914936" w:rsidRPr="009371D6">
        <w:rPr>
          <w:szCs w:val="20"/>
        </w:rPr>
        <w:t xml:space="preserve"> </w:t>
      </w:r>
      <w:r w:rsidR="00730360" w:rsidRPr="009371D6">
        <w:rPr>
          <w:szCs w:val="20"/>
        </w:rPr>
        <w:t xml:space="preserve">Beef Central note that this labour crisis will be </w:t>
      </w:r>
      <w:r w:rsidR="007100BC" w:rsidRPr="009371D6">
        <w:rPr>
          <w:szCs w:val="20"/>
        </w:rPr>
        <w:t xml:space="preserve">exacerbated </w:t>
      </w:r>
      <w:r w:rsidR="00730360" w:rsidRPr="009371D6">
        <w:rPr>
          <w:szCs w:val="20"/>
        </w:rPr>
        <w:t xml:space="preserve">when </w:t>
      </w:r>
      <w:r w:rsidR="004E1017" w:rsidRPr="009371D6">
        <w:rPr>
          <w:szCs w:val="20"/>
        </w:rPr>
        <w:t>workers involved in the first round of Pacific Island labour recruitment programs complete their four-year contracts and return home</w:t>
      </w:r>
      <w:r w:rsidR="004E1017" w:rsidRPr="009371D6">
        <w:rPr>
          <w:rStyle w:val="FootnoteReference"/>
          <w:sz w:val="20"/>
          <w:szCs w:val="20"/>
        </w:rPr>
        <w:footnoteReference w:id="50"/>
      </w:r>
      <w:r w:rsidR="004E1017" w:rsidRPr="009371D6">
        <w:rPr>
          <w:szCs w:val="20"/>
        </w:rPr>
        <w:t>.</w:t>
      </w:r>
      <w:r w:rsidR="00314F88" w:rsidRPr="009371D6">
        <w:rPr>
          <w:szCs w:val="20"/>
        </w:rPr>
        <w:t xml:space="preserve"> </w:t>
      </w:r>
    </w:p>
    <w:p w14:paraId="547C6C95" w14:textId="445E6B8B" w:rsidR="00DD2C2E" w:rsidRDefault="00DD2C2E" w:rsidP="00171CA4">
      <w:pPr>
        <w:rPr>
          <w:szCs w:val="20"/>
        </w:rPr>
      </w:pPr>
    </w:p>
    <w:p w14:paraId="4440261F" w14:textId="6D697CE3" w:rsidR="006F5246" w:rsidRPr="009371D6" w:rsidRDefault="00E0478E" w:rsidP="006E5BAC">
      <w:pPr>
        <w:rPr>
          <w:szCs w:val="20"/>
        </w:rPr>
      </w:pPr>
      <w:r w:rsidRPr="009371D6">
        <w:rPr>
          <w:szCs w:val="20"/>
        </w:rPr>
        <w:t xml:space="preserve">Considering </w:t>
      </w:r>
      <w:r w:rsidR="00FB00DB" w:rsidRPr="009371D6">
        <w:rPr>
          <w:szCs w:val="20"/>
        </w:rPr>
        <w:t xml:space="preserve">that the current situation is unsustainable, </w:t>
      </w:r>
      <w:r w:rsidR="00314F88" w:rsidRPr="009371D6">
        <w:rPr>
          <w:szCs w:val="20"/>
        </w:rPr>
        <w:t xml:space="preserve">AMIC </w:t>
      </w:r>
      <w:r w:rsidR="00064301" w:rsidRPr="009371D6">
        <w:rPr>
          <w:szCs w:val="20"/>
        </w:rPr>
        <w:t xml:space="preserve">are one of several industry representatives </w:t>
      </w:r>
      <w:r w:rsidR="00171CA4" w:rsidRPr="009371D6">
        <w:rPr>
          <w:szCs w:val="20"/>
        </w:rPr>
        <w:t xml:space="preserve">advocating for changes to visa arrangements and </w:t>
      </w:r>
      <w:r w:rsidR="006F56A3" w:rsidRPr="009371D6">
        <w:rPr>
          <w:szCs w:val="20"/>
        </w:rPr>
        <w:t xml:space="preserve">Meat Industry Labour Agreement </w:t>
      </w:r>
      <w:r w:rsidR="00AB41A6" w:rsidRPr="009371D6">
        <w:rPr>
          <w:szCs w:val="20"/>
        </w:rPr>
        <w:t>guidelines</w:t>
      </w:r>
      <w:r w:rsidR="00AD00DE" w:rsidRPr="009371D6">
        <w:rPr>
          <w:rStyle w:val="FootnoteReference"/>
          <w:sz w:val="20"/>
          <w:szCs w:val="20"/>
        </w:rPr>
        <w:footnoteReference w:id="51"/>
      </w:r>
      <w:r w:rsidR="007579B5" w:rsidRPr="009371D6">
        <w:rPr>
          <w:szCs w:val="20"/>
        </w:rPr>
        <w:t>.</w:t>
      </w:r>
      <w:r w:rsidR="00536042" w:rsidRPr="009371D6">
        <w:rPr>
          <w:szCs w:val="20"/>
        </w:rPr>
        <w:t xml:space="preserve"> </w:t>
      </w:r>
      <w:r w:rsidR="007A2319" w:rsidRPr="009371D6">
        <w:rPr>
          <w:szCs w:val="20"/>
        </w:rPr>
        <w:t>To help attract the next generation of workers to the meat processing industry, s</w:t>
      </w:r>
      <w:r w:rsidR="006D6A41" w:rsidRPr="009371D6">
        <w:rPr>
          <w:szCs w:val="20"/>
        </w:rPr>
        <w:t xml:space="preserve">takeholders </w:t>
      </w:r>
      <w:r w:rsidR="005D3A77" w:rsidRPr="009371D6">
        <w:rPr>
          <w:szCs w:val="20"/>
        </w:rPr>
        <w:t>are</w:t>
      </w:r>
      <w:r w:rsidR="00AC4EFD" w:rsidRPr="009371D6">
        <w:rPr>
          <w:szCs w:val="20"/>
        </w:rPr>
        <w:t xml:space="preserve"> </w:t>
      </w:r>
      <w:r w:rsidR="00FE4781" w:rsidRPr="009371D6">
        <w:rPr>
          <w:szCs w:val="20"/>
        </w:rPr>
        <w:t xml:space="preserve">also </w:t>
      </w:r>
      <w:r w:rsidR="00AC4EFD" w:rsidRPr="009371D6">
        <w:rPr>
          <w:szCs w:val="20"/>
        </w:rPr>
        <w:t>promot</w:t>
      </w:r>
      <w:r w:rsidR="00FE4781" w:rsidRPr="009371D6">
        <w:rPr>
          <w:szCs w:val="20"/>
        </w:rPr>
        <w:t>ing</w:t>
      </w:r>
      <w:r w:rsidR="00AC4EFD" w:rsidRPr="009371D6">
        <w:rPr>
          <w:szCs w:val="20"/>
        </w:rPr>
        <w:t xml:space="preserve"> </w:t>
      </w:r>
      <w:r w:rsidR="00AD00DE" w:rsidRPr="009371D6">
        <w:rPr>
          <w:szCs w:val="20"/>
        </w:rPr>
        <w:t>traineeship and apprenticeship opportunities</w:t>
      </w:r>
      <w:r w:rsidR="00224E2E" w:rsidRPr="009371D6">
        <w:rPr>
          <w:szCs w:val="20"/>
        </w:rPr>
        <w:t>. Regional Industry Engagements Partnerships (RIEP) are supporting connections between industry and secondary schools</w:t>
      </w:r>
      <w:r w:rsidR="006B1C80" w:rsidRPr="009371D6">
        <w:rPr>
          <w:szCs w:val="20"/>
        </w:rPr>
        <w:t>, including guest speakers and careers</w:t>
      </w:r>
      <w:r w:rsidR="00224E2E">
        <w:t xml:space="preserve"> </w:t>
      </w:r>
      <w:r w:rsidR="006B1C80" w:rsidRPr="009371D6">
        <w:rPr>
          <w:szCs w:val="20"/>
        </w:rPr>
        <w:t>information</w:t>
      </w:r>
      <w:r w:rsidR="00A25A92" w:rsidRPr="009371D6">
        <w:rPr>
          <w:szCs w:val="20"/>
        </w:rPr>
        <w:t xml:space="preserve">. </w:t>
      </w:r>
      <w:r w:rsidR="0059066D" w:rsidRPr="009371D6">
        <w:rPr>
          <w:szCs w:val="20"/>
        </w:rPr>
        <w:t>T</w:t>
      </w:r>
      <w:r w:rsidR="00A25A92" w:rsidRPr="009371D6">
        <w:rPr>
          <w:szCs w:val="20"/>
        </w:rPr>
        <w:t xml:space="preserve">his promotional drive is to </w:t>
      </w:r>
      <w:r w:rsidR="00AC4EFD" w:rsidRPr="009371D6">
        <w:rPr>
          <w:szCs w:val="20"/>
        </w:rPr>
        <w:t>refram</w:t>
      </w:r>
      <w:r w:rsidR="00A25A92" w:rsidRPr="009371D6">
        <w:rPr>
          <w:szCs w:val="20"/>
        </w:rPr>
        <w:t xml:space="preserve">e </w:t>
      </w:r>
      <w:r w:rsidR="00E85F54" w:rsidRPr="009371D6">
        <w:rPr>
          <w:szCs w:val="20"/>
        </w:rPr>
        <w:t xml:space="preserve">negative </w:t>
      </w:r>
      <w:r w:rsidR="00DB518B" w:rsidRPr="009371D6">
        <w:rPr>
          <w:szCs w:val="20"/>
        </w:rPr>
        <w:t>conceptions of</w:t>
      </w:r>
      <w:r w:rsidR="008259C6" w:rsidRPr="009371D6">
        <w:rPr>
          <w:szCs w:val="20"/>
        </w:rPr>
        <w:t xml:space="preserve"> jobs</w:t>
      </w:r>
      <w:r w:rsidR="00E85F54" w:rsidRPr="009371D6">
        <w:rPr>
          <w:szCs w:val="20"/>
        </w:rPr>
        <w:t xml:space="preserve">, and to emphasise </w:t>
      </w:r>
      <w:r w:rsidR="00FB4C38" w:rsidRPr="009371D6">
        <w:rPr>
          <w:szCs w:val="20"/>
        </w:rPr>
        <w:t xml:space="preserve">rewarding </w:t>
      </w:r>
      <w:r w:rsidR="008259C6" w:rsidRPr="009371D6">
        <w:rPr>
          <w:szCs w:val="20"/>
        </w:rPr>
        <w:t>career pathways</w:t>
      </w:r>
      <w:r w:rsidR="00E24096" w:rsidRPr="009371D6">
        <w:rPr>
          <w:szCs w:val="20"/>
        </w:rPr>
        <w:t xml:space="preserve"> that involve a ric</w:t>
      </w:r>
      <w:r w:rsidR="002D31CC" w:rsidRPr="009371D6">
        <w:rPr>
          <w:szCs w:val="20"/>
        </w:rPr>
        <w:t>h</w:t>
      </w:r>
      <w:r w:rsidR="00E24096" w:rsidRPr="009371D6">
        <w:rPr>
          <w:szCs w:val="20"/>
        </w:rPr>
        <w:t xml:space="preserve"> variety of tasks</w:t>
      </w:r>
      <w:r w:rsidR="002D31CC" w:rsidRPr="009371D6">
        <w:rPr>
          <w:szCs w:val="20"/>
        </w:rPr>
        <w:t xml:space="preserve"> and develop multi-skilled </w:t>
      </w:r>
      <w:r w:rsidR="00224E2E" w:rsidRPr="009371D6">
        <w:rPr>
          <w:szCs w:val="20"/>
        </w:rPr>
        <w:t>individuals</w:t>
      </w:r>
      <w:r w:rsidR="008259C6" w:rsidRPr="009371D6">
        <w:rPr>
          <w:szCs w:val="20"/>
        </w:rPr>
        <w:t>.</w:t>
      </w:r>
      <w:bookmarkStart w:id="46" w:name="_Ref96683110"/>
      <w:bookmarkEnd w:id="44"/>
      <w:r w:rsidR="006E5BAC" w:rsidRPr="009371D6">
        <w:rPr>
          <w:szCs w:val="20"/>
        </w:rPr>
        <w:t xml:space="preserve"> </w:t>
      </w:r>
      <w:bookmarkEnd w:id="46"/>
    </w:p>
    <w:p w14:paraId="03A76788" w14:textId="483B753E" w:rsidR="006C4D3E" w:rsidRPr="009371D6" w:rsidRDefault="006C4D3E" w:rsidP="006E5BAC">
      <w:pPr>
        <w:rPr>
          <w:szCs w:val="20"/>
        </w:rPr>
      </w:pPr>
    </w:p>
    <w:p w14:paraId="5462F8A5" w14:textId="398F78FA" w:rsidR="004368D9" w:rsidRDefault="004368D9" w:rsidP="006E5BAC">
      <w:pPr>
        <w:rPr>
          <w:szCs w:val="20"/>
        </w:rPr>
      </w:pPr>
      <w:r w:rsidRPr="009371D6">
        <w:rPr>
          <w:szCs w:val="20"/>
        </w:rPr>
        <w:t>St</w:t>
      </w:r>
      <w:r w:rsidR="000A2438" w:rsidRPr="009371D6">
        <w:rPr>
          <w:szCs w:val="20"/>
        </w:rPr>
        <w:t xml:space="preserve">akeholders </w:t>
      </w:r>
      <w:r w:rsidRPr="009371D6">
        <w:rPr>
          <w:szCs w:val="20"/>
        </w:rPr>
        <w:t xml:space="preserve">have </w:t>
      </w:r>
      <w:r w:rsidR="00FE472E" w:rsidRPr="009371D6">
        <w:rPr>
          <w:szCs w:val="20"/>
        </w:rPr>
        <w:t xml:space="preserve">also </w:t>
      </w:r>
      <w:r w:rsidRPr="009371D6">
        <w:rPr>
          <w:szCs w:val="20"/>
        </w:rPr>
        <w:t xml:space="preserve">recognised the value of </w:t>
      </w:r>
      <w:r w:rsidR="005A3B3E" w:rsidRPr="009371D6">
        <w:rPr>
          <w:szCs w:val="20"/>
        </w:rPr>
        <w:t xml:space="preserve">industry leadership for </w:t>
      </w:r>
      <w:r w:rsidR="00673608" w:rsidRPr="009371D6">
        <w:rPr>
          <w:szCs w:val="20"/>
        </w:rPr>
        <w:t xml:space="preserve">enhancing </w:t>
      </w:r>
      <w:r w:rsidR="005A3B3E" w:rsidRPr="009371D6">
        <w:rPr>
          <w:szCs w:val="20"/>
        </w:rPr>
        <w:t xml:space="preserve">workforce </w:t>
      </w:r>
      <w:r w:rsidR="00673608" w:rsidRPr="009371D6">
        <w:rPr>
          <w:szCs w:val="20"/>
        </w:rPr>
        <w:t>attraction, retention and capabilities development</w:t>
      </w:r>
      <w:r w:rsidR="005A3B3E" w:rsidRPr="009371D6">
        <w:rPr>
          <w:szCs w:val="20"/>
        </w:rPr>
        <w:t xml:space="preserve"> efforts</w:t>
      </w:r>
      <w:r w:rsidR="006B2344" w:rsidRPr="009371D6">
        <w:rPr>
          <w:szCs w:val="20"/>
        </w:rPr>
        <w:t xml:space="preserve">. </w:t>
      </w:r>
      <w:r w:rsidR="00F85BBD" w:rsidRPr="009371D6">
        <w:rPr>
          <w:szCs w:val="20"/>
        </w:rPr>
        <w:t>R</w:t>
      </w:r>
      <w:r w:rsidRPr="009371D6">
        <w:rPr>
          <w:szCs w:val="20"/>
        </w:rPr>
        <w:t xml:space="preserve">ed meat processing participants </w:t>
      </w:r>
      <w:r w:rsidR="00F85BBD" w:rsidRPr="009371D6">
        <w:rPr>
          <w:szCs w:val="20"/>
        </w:rPr>
        <w:t xml:space="preserve">are sponsored by AMPC </w:t>
      </w:r>
      <w:r w:rsidRPr="009371D6">
        <w:rPr>
          <w:szCs w:val="20"/>
        </w:rPr>
        <w:t>to complete the Australian Rural Leadership Program</w:t>
      </w:r>
      <w:r w:rsidR="00E86908" w:rsidRPr="009371D6">
        <w:rPr>
          <w:rStyle w:val="FootnoteReference"/>
          <w:sz w:val="20"/>
          <w:szCs w:val="20"/>
        </w:rPr>
        <w:footnoteReference w:id="52"/>
      </w:r>
      <w:r w:rsidR="00F85BBD" w:rsidRPr="009371D6">
        <w:rPr>
          <w:szCs w:val="20"/>
        </w:rPr>
        <w:t>.</w:t>
      </w:r>
      <w:r w:rsidR="00E86908" w:rsidRPr="009371D6">
        <w:rPr>
          <w:szCs w:val="20"/>
        </w:rPr>
        <w:t xml:space="preserve"> Through this program participants</w:t>
      </w:r>
      <w:r w:rsidR="00EF43B9" w:rsidRPr="009371D6">
        <w:rPr>
          <w:szCs w:val="20"/>
        </w:rPr>
        <w:t xml:space="preserve"> can expand their </w:t>
      </w:r>
      <w:r w:rsidR="00EF43B9" w:rsidRPr="009371D6">
        <w:rPr>
          <w:szCs w:val="20"/>
        </w:rPr>
        <w:lastRenderedPageBreak/>
        <w:t xml:space="preserve">networks, </w:t>
      </w:r>
      <w:r w:rsidR="007B1EA9" w:rsidRPr="009371D6">
        <w:rPr>
          <w:szCs w:val="20"/>
        </w:rPr>
        <w:t xml:space="preserve">build resilience, </w:t>
      </w:r>
      <w:r w:rsidR="00EF43B9" w:rsidRPr="009371D6">
        <w:rPr>
          <w:szCs w:val="20"/>
        </w:rPr>
        <w:t>consider innovati</w:t>
      </w:r>
      <w:r w:rsidR="00966A2E" w:rsidRPr="009371D6">
        <w:rPr>
          <w:szCs w:val="20"/>
        </w:rPr>
        <w:t>ve</w:t>
      </w:r>
      <w:r w:rsidR="00EF43B9" w:rsidRPr="009371D6">
        <w:rPr>
          <w:szCs w:val="20"/>
        </w:rPr>
        <w:t xml:space="preserve"> </w:t>
      </w:r>
      <w:r w:rsidR="00966A2E" w:rsidRPr="009371D6">
        <w:rPr>
          <w:szCs w:val="20"/>
        </w:rPr>
        <w:t xml:space="preserve">practices </w:t>
      </w:r>
      <w:r w:rsidR="003D2E40" w:rsidRPr="009371D6">
        <w:rPr>
          <w:szCs w:val="20"/>
        </w:rPr>
        <w:t xml:space="preserve">and </w:t>
      </w:r>
      <w:r w:rsidR="00966A2E" w:rsidRPr="009371D6">
        <w:rPr>
          <w:szCs w:val="20"/>
        </w:rPr>
        <w:t xml:space="preserve">strengthen </w:t>
      </w:r>
      <w:r w:rsidR="003D2E40" w:rsidRPr="009371D6">
        <w:rPr>
          <w:szCs w:val="20"/>
        </w:rPr>
        <w:t xml:space="preserve">their </w:t>
      </w:r>
      <w:r w:rsidR="00966A2E" w:rsidRPr="009371D6">
        <w:rPr>
          <w:szCs w:val="20"/>
        </w:rPr>
        <w:t xml:space="preserve">leadership capabilities, including </w:t>
      </w:r>
      <w:r w:rsidR="003D2E40" w:rsidRPr="009371D6">
        <w:rPr>
          <w:szCs w:val="20"/>
        </w:rPr>
        <w:t xml:space="preserve">to </w:t>
      </w:r>
      <w:r w:rsidR="002233EA" w:rsidRPr="009371D6">
        <w:rPr>
          <w:szCs w:val="20"/>
        </w:rPr>
        <w:t>help build</w:t>
      </w:r>
      <w:r w:rsidR="003F20E2" w:rsidRPr="009371D6">
        <w:rPr>
          <w:szCs w:val="20"/>
        </w:rPr>
        <w:t xml:space="preserve"> the long-term </w:t>
      </w:r>
      <w:r w:rsidR="00DF33A3" w:rsidRPr="009371D6">
        <w:rPr>
          <w:szCs w:val="20"/>
        </w:rPr>
        <w:t>future</w:t>
      </w:r>
      <w:r w:rsidR="003F20E2" w:rsidRPr="009371D6">
        <w:rPr>
          <w:szCs w:val="20"/>
        </w:rPr>
        <w:t xml:space="preserve"> of the industry’s workforce.</w:t>
      </w:r>
    </w:p>
    <w:p w14:paraId="5020EB82" w14:textId="77777777" w:rsidR="00A961AF" w:rsidRDefault="00A961AF" w:rsidP="006E5BAC">
      <w:pPr>
        <w:rPr>
          <w:szCs w:val="20"/>
        </w:rPr>
      </w:pPr>
    </w:p>
    <w:p w14:paraId="654430B1" w14:textId="67F9509D" w:rsidR="00A961AF" w:rsidRPr="009371D6" w:rsidRDefault="00A961AF" w:rsidP="00A961AF">
      <w:pPr>
        <w:pStyle w:val="Heading3"/>
      </w:pPr>
      <w:bookmarkStart w:id="47" w:name="_Toc115363707"/>
      <w:r>
        <w:t>Training Summary</w:t>
      </w:r>
      <w:bookmarkEnd w:id="47"/>
    </w:p>
    <w:p w14:paraId="07F28496" w14:textId="4E2B00DB" w:rsidR="00EA37FD" w:rsidRPr="00EA37FD" w:rsidRDefault="00D375C1" w:rsidP="009371D6">
      <w:pPr>
        <w:pStyle w:val="Heading4"/>
      </w:pPr>
      <w:bookmarkStart w:id="48" w:name="_Toc115363708"/>
      <w:bookmarkStart w:id="49" w:name="Qualifications"/>
      <w:r>
        <w:t>AMP</w:t>
      </w:r>
      <w:r w:rsidR="00EA37FD">
        <w:t xml:space="preserve"> Qualifications</w:t>
      </w:r>
      <w:bookmarkEnd w:id="48"/>
    </w:p>
    <w:bookmarkEnd w:id="49"/>
    <w:p w14:paraId="258CFC08" w14:textId="1EE133BD" w:rsidR="0001662B" w:rsidRDefault="004A6728" w:rsidP="00750B62">
      <w:r>
        <w:t xml:space="preserve">In 2020, there were </w:t>
      </w:r>
      <w:r w:rsidR="000125B6">
        <w:t>7,063</w:t>
      </w:r>
      <w:r>
        <w:t xml:space="preserve"> enrolments in </w:t>
      </w:r>
      <w:r w:rsidR="00D375C1" w:rsidRPr="00D375C1">
        <w:rPr>
          <w:i/>
          <w:iCs/>
        </w:rPr>
        <w:t>AMP</w:t>
      </w:r>
      <w:r w:rsidRPr="00D375C1">
        <w:rPr>
          <w:i/>
          <w:iCs/>
        </w:rPr>
        <w:t xml:space="preserve"> </w:t>
      </w:r>
      <w:r w:rsidR="002E61F9" w:rsidRPr="00D375C1">
        <w:rPr>
          <w:i/>
          <w:iCs/>
        </w:rPr>
        <w:t>T</w:t>
      </w:r>
      <w:r w:rsidRPr="00D375C1">
        <w:rPr>
          <w:i/>
          <w:iCs/>
        </w:rPr>
        <w:t xml:space="preserve">raining </w:t>
      </w:r>
      <w:r w:rsidR="002E61F9" w:rsidRPr="00D375C1">
        <w:rPr>
          <w:i/>
          <w:iCs/>
        </w:rPr>
        <w:t>P</w:t>
      </w:r>
      <w:r w:rsidRPr="00D375C1">
        <w:rPr>
          <w:i/>
          <w:iCs/>
        </w:rPr>
        <w:t>ackage</w:t>
      </w:r>
      <w:r>
        <w:t xml:space="preserve"> qualifications.</w:t>
      </w:r>
      <w:r w:rsidR="004D5E39">
        <w:t xml:space="preserve"> </w:t>
      </w:r>
    </w:p>
    <w:p w14:paraId="0253B351" w14:textId="77777777" w:rsidR="00EC74E7" w:rsidRDefault="00EC74E7" w:rsidP="00750B62"/>
    <w:p w14:paraId="68429748" w14:textId="40CB5F36" w:rsidR="00750B62" w:rsidRDefault="00A67B67" w:rsidP="00750B62">
      <w:r>
        <w:t xml:space="preserve">There were </w:t>
      </w:r>
      <w:r w:rsidR="000125B6">
        <w:t>2,</w:t>
      </w:r>
      <w:r w:rsidR="00883FDA">
        <w:t>026</w:t>
      </w:r>
      <w:r>
        <w:t xml:space="preserve"> </w:t>
      </w:r>
      <w:r w:rsidR="0001662B">
        <w:t xml:space="preserve">qualification </w:t>
      </w:r>
      <w:r>
        <w:t xml:space="preserve">completions </w:t>
      </w:r>
      <w:r w:rsidR="0092644B">
        <w:t>in 2020</w:t>
      </w:r>
      <w:r w:rsidR="0001662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97F0C" w14:paraId="61B6566C" w14:textId="77777777" w:rsidTr="00653457">
        <w:tc>
          <w:tcPr>
            <w:tcW w:w="9350" w:type="dxa"/>
          </w:tcPr>
          <w:p w14:paraId="49A53385" w14:textId="07475505" w:rsidR="00497F0C" w:rsidRDefault="00653457" w:rsidP="00497F0C">
            <w:pPr>
              <w:pStyle w:val="TableTitle"/>
            </w:pPr>
            <w:r>
              <w:t xml:space="preserve">Figure </w:t>
            </w:r>
            <w:r w:rsidR="0069100F">
              <w:fldChar w:fldCharType="begin"/>
            </w:r>
            <w:r w:rsidR="0069100F">
              <w:instrText xml:space="preserve"> SEQ Figure \* ARABIC </w:instrText>
            </w:r>
            <w:r w:rsidR="0069100F">
              <w:fldChar w:fldCharType="separate"/>
            </w:r>
            <w:r w:rsidR="00C6344A">
              <w:rPr>
                <w:noProof/>
              </w:rPr>
              <w:t>2</w:t>
            </w:r>
            <w:r w:rsidR="0069100F">
              <w:rPr>
                <w:noProof/>
              </w:rPr>
              <w:fldChar w:fldCharType="end"/>
            </w:r>
            <w:r w:rsidR="006379DB">
              <w:t xml:space="preserve">: </w:t>
            </w:r>
            <w:r w:rsidR="00D375C1">
              <w:t>AMP</w:t>
            </w:r>
            <w:r w:rsidR="006A618B">
              <w:t xml:space="preserve"> </w:t>
            </w:r>
            <w:r w:rsidR="00762D7F" w:rsidRPr="00762D7F">
              <w:t xml:space="preserve">Qualification Enrolments </w:t>
            </w:r>
            <w:r w:rsidR="00A67B67">
              <w:t xml:space="preserve">and Completions </w:t>
            </w:r>
            <w:r w:rsidR="00762D7F" w:rsidRPr="00762D7F">
              <w:t>by Year</w:t>
            </w:r>
          </w:p>
        </w:tc>
      </w:tr>
      <w:tr w:rsidR="00497F0C" w14:paraId="45EF5AAD" w14:textId="77777777" w:rsidTr="00DA52F8">
        <w:tc>
          <w:tcPr>
            <w:tcW w:w="9350" w:type="dxa"/>
          </w:tcPr>
          <w:p w14:paraId="2B1E56A9" w14:textId="0C556CE4" w:rsidR="00497F0C" w:rsidRDefault="00DA52F8" w:rsidP="00497F0C">
            <w:pPr>
              <w:pStyle w:val="TableInside"/>
            </w:pPr>
            <w:r>
              <w:rPr>
                <w:noProof/>
              </w:rPr>
              <w:drawing>
                <wp:inline distT="0" distB="0" distL="0" distR="0" wp14:anchorId="443F1EF3" wp14:editId="0B0937FD">
                  <wp:extent cx="5162550" cy="2438400"/>
                  <wp:effectExtent l="0" t="0" r="0" b="0"/>
                  <wp:docPr id="1" name="Chart 1">
                    <a:extLst xmlns:a="http://schemas.openxmlformats.org/drawingml/2006/main">
                      <a:ext uri="{FF2B5EF4-FFF2-40B4-BE49-F238E27FC236}">
                        <a16:creationId xmlns:a16="http://schemas.microsoft.com/office/drawing/2014/main" id="{7982B92C-948A-4060-BB0C-D33E978D00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497F0C" w14:paraId="7BF5A125" w14:textId="77777777" w:rsidTr="00653457">
        <w:tc>
          <w:tcPr>
            <w:tcW w:w="9350" w:type="dxa"/>
          </w:tcPr>
          <w:p w14:paraId="0A766B0E" w14:textId="4999AF33" w:rsidR="00497F0C" w:rsidRDefault="00497F0C" w:rsidP="00497F0C">
            <w:pPr>
              <w:pStyle w:val="TableSource"/>
            </w:pPr>
            <w:r w:rsidRPr="008E15AE">
              <w:t>Source: NCVER VOCSTATS</w:t>
            </w:r>
            <w:r w:rsidR="00762D7F" w:rsidRPr="008E15AE">
              <w:t>, TVA program enrolments 2015-2020</w:t>
            </w:r>
          </w:p>
        </w:tc>
      </w:tr>
    </w:tbl>
    <w:p w14:paraId="312DCBBA" w14:textId="4DB2391F" w:rsidR="00E61F8A" w:rsidRDefault="00E61F8A" w:rsidP="00A00F60">
      <w:r>
        <w:t xml:space="preserve">The greatest number of qualification enrolments in 2020 were in </w:t>
      </w:r>
      <w:r w:rsidR="002218C5">
        <w:t>Queensland (</w:t>
      </w:r>
      <w:r w:rsidR="005E0316">
        <w:t>2,116)</w:t>
      </w:r>
      <w:r>
        <w:t xml:space="preserve">, followed by </w:t>
      </w:r>
      <w:r w:rsidR="005E0316">
        <w:t xml:space="preserve">New South Wales (1,867) </w:t>
      </w:r>
      <w:r>
        <w:t xml:space="preserve">and </w:t>
      </w:r>
      <w:r w:rsidR="005E0316">
        <w:t>Victoria (</w:t>
      </w:r>
      <w:r w:rsidR="00383157">
        <w:t>1,855)</w:t>
      </w:r>
      <w:r>
        <w:t>.</w:t>
      </w:r>
    </w:p>
    <w:p w14:paraId="17952F15" w14:textId="6DC1AD4A" w:rsidR="00EA37FD" w:rsidRDefault="00A94B66" w:rsidP="009371D6">
      <w:pPr>
        <w:pStyle w:val="Heading4"/>
      </w:pPr>
      <w:bookmarkStart w:id="50" w:name="_Toc115363709"/>
      <w:r>
        <w:t>AMP</w:t>
      </w:r>
      <w:r w:rsidR="00EA37FD">
        <w:t xml:space="preserve"> Units of Competency</w:t>
      </w:r>
      <w:bookmarkEnd w:id="50"/>
    </w:p>
    <w:p w14:paraId="008C6F77" w14:textId="39C790B4" w:rsidR="00883B4E" w:rsidRDefault="0092644B" w:rsidP="00810FA7">
      <w:r>
        <w:t>In 2020, t</w:t>
      </w:r>
      <w:r w:rsidR="00B45997">
        <w:t xml:space="preserve">here were </w:t>
      </w:r>
      <w:r w:rsidR="000125B6">
        <w:t>65,390</w:t>
      </w:r>
      <w:r w:rsidR="00C06D2C">
        <w:t xml:space="preserve"> enrolments </w:t>
      </w:r>
      <w:r>
        <w:t xml:space="preserve">in </w:t>
      </w:r>
      <w:r w:rsidR="000125B6">
        <w:t>AMP</w:t>
      </w:r>
      <w:r w:rsidR="008B0982">
        <w:t xml:space="preserve"> </w:t>
      </w:r>
      <w:r w:rsidR="00C06D2C">
        <w:t xml:space="preserve">units of competency (hereafter ‘units’). This </w:t>
      </w:r>
      <w:r w:rsidR="00C06D2C" w:rsidRPr="00C06D2C">
        <w:t>includes enrolments through qualifications (in any training package)</w:t>
      </w:r>
      <w:r w:rsidR="00DB526D">
        <w:t xml:space="preserve">, apprenticeships and non-apprenticeships, </w:t>
      </w:r>
      <w:r w:rsidR="00C06D2C" w:rsidRPr="00C06D2C">
        <w:t>skill sets and micro</w:t>
      </w:r>
      <w:r w:rsidR="00DB526D">
        <w:t>-</w:t>
      </w:r>
      <w:r w:rsidR="00C06D2C" w:rsidRPr="00C06D2C">
        <w:t xml:space="preserve">credentials.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83B4E" w14:paraId="58C4ACEC" w14:textId="77777777" w:rsidTr="00653457">
        <w:tc>
          <w:tcPr>
            <w:tcW w:w="9350" w:type="dxa"/>
          </w:tcPr>
          <w:p w14:paraId="25F8E70D" w14:textId="665FCD44" w:rsidR="00883B4E" w:rsidRDefault="00653457" w:rsidP="00141BE6">
            <w:pPr>
              <w:pStyle w:val="TableTitle"/>
            </w:pPr>
            <w:r>
              <w:lastRenderedPageBreak/>
              <w:t xml:space="preserve">Figure </w:t>
            </w:r>
            <w:r w:rsidR="0069100F">
              <w:fldChar w:fldCharType="begin"/>
            </w:r>
            <w:r w:rsidR="0069100F">
              <w:instrText xml:space="preserve"> SEQ Figure \* ARABIC </w:instrText>
            </w:r>
            <w:r w:rsidR="0069100F">
              <w:fldChar w:fldCharType="separate"/>
            </w:r>
            <w:r w:rsidR="00C6344A">
              <w:rPr>
                <w:noProof/>
              </w:rPr>
              <w:t>3</w:t>
            </w:r>
            <w:r w:rsidR="0069100F">
              <w:rPr>
                <w:noProof/>
              </w:rPr>
              <w:fldChar w:fldCharType="end"/>
            </w:r>
            <w:r>
              <w:t xml:space="preserve">: </w:t>
            </w:r>
            <w:r w:rsidR="00A94B66">
              <w:t>AMP</w:t>
            </w:r>
            <w:r w:rsidR="006A618B">
              <w:t xml:space="preserve"> </w:t>
            </w:r>
            <w:r w:rsidR="00883B4E" w:rsidRPr="00762D7F">
              <w:t xml:space="preserve">Training Package </w:t>
            </w:r>
            <w:r w:rsidR="00883B4E">
              <w:t>Unit</w:t>
            </w:r>
            <w:r w:rsidR="00883B4E" w:rsidRPr="00762D7F">
              <w:t xml:space="preserve"> </w:t>
            </w:r>
            <w:r w:rsidR="00883B4E">
              <w:t xml:space="preserve">Enrolments </w:t>
            </w:r>
            <w:r w:rsidR="00883B4E" w:rsidRPr="00762D7F">
              <w:t>by Year</w:t>
            </w:r>
          </w:p>
        </w:tc>
      </w:tr>
      <w:tr w:rsidR="00883B4E" w14:paraId="5D2F4076" w14:textId="77777777" w:rsidTr="00B13EC3">
        <w:tc>
          <w:tcPr>
            <w:tcW w:w="9350" w:type="dxa"/>
          </w:tcPr>
          <w:p w14:paraId="0C2AB35A" w14:textId="3A16B229" w:rsidR="00883B4E" w:rsidRDefault="00B13EC3" w:rsidP="00141BE6">
            <w:pPr>
              <w:pStyle w:val="TableInside"/>
            </w:pPr>
            <w:r>
              <w:rPr>
                <w:noProof/>
              </w:rPr>
              <w:drawing>
                <wp:inline distT="0" distB="0" distL="0" distR="0" wp14:anchorId="13BD91F5" wp14:editId="534C7969">
                  <wp:extent cx="5172075" cy="2324100"/>
                  <wp:effectExtent l="0" t="0" r="9525" b="0"/>
                  <wp:docPr id="2" name="Chart 2">
                    <a:extLst xmlns:a="http://schemas.openxmlformats.org/drawingml/2006/main">
                      <a:ext uri="{FF2B5EF4-FFF2-40B4-BE49-F238E27FC236}">
                        <a16:creationId xmlns:a16="http://schemas.microsoft.com/office/drawing/2014/main" id="{86376F77-C43E-942A-AB11-CB475CBD72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883B4E" w14:paraId="4B91A4DD" w14:textId="77777777" w:rsidTr="00653457">
        <w:tc>
          <w:tcPr>
            <w:tcW w:w="9350" w:type="dxa"/>
          </w:tcPr>
          <w:p w14:paraId="78C8D49E" w14:textId="68C3159F" w:rsidR="00883B4E" w:rsidRDefault="00883B4E" w:rsidP="00141BE6">
            <w:pPr>
              <w:pStyle w:val="TableSource"/>
            </w:pPr>
            <w:r w:rsidRPr="008E15AE">
              <w:t>Source: NCVER VOCSTATS, TVA subject enrolments 2015-2020</w:t>
            </w:r>
          </w:p>
        </w:tc>
      </w:tr>
    </w:tbl>
    <w:p w14:paraId="66B7C9E5" w14:textId="77777777" w:rsidR="00221786" w:rsidRDefault="00221786" w:rsidP="00221786">
      <w:bookmarkStart w:id="51" w:name="LearnerOutcomes"/>
      <w:r>
        <w:t xml:space="preserve">Please see the </w:t>
      </w:r>
      <w:r w:rsidRPr="00765619">
        <w:rPr>
          <w:i/>
          <w:iCs/>
        </w:rPr>
        <w:t>Agribusiness, Food and Fibre Industries Skills Report</w:t>
      </w:r>
      <w:r>
        <w:t xml:space="preserve"> for additional information on learners’ motivations for undertaking training.</w:t>
      </w:r>
    </w:p>
    <w:p w14:paraId="3789D592" w14:textId="54E6D0FB" w:rsidR="008F3E8E" w:rsidRDefault="00DF2948" w:rsidP="00520779">
      <w:pPr>
        <w:pStyle w:val="Heading4"/>
      </w:pPr>
      <w:bookmarkStart w:id="52" w:name="_Toc115363710"/>
      <w:bookmarkEnd w:id="51"/>
      <w:r>
        <w:t>Employers’ use and views of VET and other forms of training</w:t>
      </w:r>
      <w:bookmarkEnd w:id="52"/>
    </w:p>
    <w:p w14:paraId="0AF4DF6C" w14:textId="47F50A0D" w:rsidR="00D44DB4" w:rsidRPr="009371D6" w:rsidRDefault="001E48CC" w:rsidP="008829AF">
      <w:pPr>
        <w:rPr>
          <w:szCs w:val="20"/>
        </w:rPr>
      </w:pPr>
      <w:r w:rsidRPr="009371D6">
        <w:rPr>
          <w:szCs w:val="20"/>
        </w:rPr>
        <w:t xml:space="preserve">The training practices of industry </w:t>
      </w:r>
      <w:r w:rsidR="00DD435E" w:rsidRPr="009371D6">
        <w:rPr>
          <w:szCs w:val="20"/>
        </w:rPr>
        <w:t xml:space="preserve">businesses </w:t>
      </w:r>
      <w:r w:rsidRPr="009371D6">
        <w:rPr>
          <w:szCs w:val="20"/>
        </w:rPr>
        <w:t xml:space="preserve">are </w:t>
      </w:r>
      <w:r w:rsidR="00DD435E" w:rsidRPr="009371D6">
        <w:rPr>
          <w:szCs w:val="20"/>
        </w:rPr>
        <w:t xml:space="preserve">shaped </w:t>
      </w:r>
      <w:r w:rsidRPr="009371D6">
        <w:rPr>
          <w:szCs w:val="20"/>
        </w:rPr>
        <w:t xml:space="preserve">by a </w:t>
      </w:r>
      <w:r w:rsidR="00DD435E" w:rsidRPr="009371D6">
        <w:rPr>
          <w:szCs w:val="20"/>
        </w:rPr>
        <w:t xml:space="preserve">variety </w:t>
      </w:r>
      <w:r w:rsidRPr="009371D6">
        <w:rPr>
          <w:szCs w:val="20"/>
        </w:rPr>
        <w:t xml:space="preserve">of </w:t>
      </w:r>
      <w:r w:rsidR="00DD435E" w:rsidRPr="009371D6">
        <w:rPr>
          <w:szCs w:val="20"/>
        </w:rPr>
        <w:t>considerations</w:t>
      </w:r>
      <w:r w:rsidRPr="009371D6">
        <w:rPr>
          <w:szCs w:val="20"/>
        </w:rPr>
        <w:t xml:space="preserve">, including regulatory standards, the availability of labour, labour turnover </w:t>
      </w:r>
      <w:r w:rsidR="00F950F5" w:rsidRPr="009371D6">
        <w:rPr>
          <w:szCs w:val="20"/>
        </w:rPr>
        <w:t xml:space="preserve">rates </w:t>
      </w:r>
      <w:r w:rsidRPr="009371D6">
        <w:rPr>
          <w:szCs w:val="20"/>
        </w:rPr>
        <w:t xml:space="preserve">and </w:t>
      </w:r>
      <w:r w:rsidR="00F950F5" w:rsidRPr="009371D6">
        <w:rPr>
          <w:szCs w:val="20"/>
        </w:rPr>
        <w:t xml:space="preserve">state funding </w:t>
      </w:r>
      <w:r w:rsidRPr="009371D6">
        <w:rPr>
          <w:szCs w:val="20"/>
        </w:rPr>
        <w:t>for training.</w:t>
      </w:r>
      <w:r w:rsidR="00D44DB4" w:rsidRPr="009371D6">
        <w:rPr>
          <w:szCs w:val="20"/>
        </w:rPr>
        <w:t xml:space="preserve"> Employers </w:t>
      </w:r>
      <w:r w:rsidR="005F4B8D" w:rsidRPr="009371D6">
        <w:rPr>
          <w:szCs w:val="20"/>
        </w:rPr>
        <w:t xml:space="preserve">also </w:t>
      </w:r>
      <w:r w:rsidR="00557F48" w:rsidRPr="009371D6">
        <w:rPr>
          <w:szCs w:val="20"/>
        </w:rPr>
        <w:t xml:space="preserve">look to ensure that production is minimally affected when </w:t>
      </w:r>
      <w:r w:rsidR="00D44DB4" w:rsidRPr="009371D6">
        <w:rPr>
          <w:szCs w:val="20"/>
        </w:rPr>
        <w:t xml:space="preserve">scheduling </w:t>
      </w:r>
      <w:r w:rsidR="00557F48" w:rsidRPr="009371D6">
        <w:rPr>
          <w:szCs w:val="20"/>
        </w:rPr>
        <w:t xml:space="preserve">job rotation and </w:t>
      </w:r>
      <w:r w:rsidR="00D44DB4" w:rsidRPr="009371D6">
        <w:rPr>
          <w:szCs w:val="20"/>
        </w:rPr>
        <w:t>training</w:t>
      </w:r>
      <w:r w:rsidR="00F25AF3">
        <w:rPr>
          <w:szCs w:val="20"/>
        </w:rPr>
        <w:t>,</w:t>
      </w:r>
      <w:r w:rsidR="00F7010D" w:rsidRPr="009371D6">
        <w:rPr>
          <w:szCs w:val="20"/>
        </w:rPr>
        <w:t xml:space="preserve"> and </w:t>
      </w:r>
      <w:r w:rsidR="002618A4" w:rsidRPr="009371D6">
        <w:rPr>
          <w:szCs w:val="20"/>
        </w:rPr>
        <w:t xml:space="preserve">this </w:t>
      </w:r>
      <w:r w:rsidR="00F7010D" w:rsidRPr="009371D6">
        <w:rPr>
          <w:szCs w:val="20"/>
        </w:rPr>
        <w:t xml:space="preserve">will </w:t>
      </w:r>
      <w:r w:rsidR="00212E56" w:rsidRPr="009371D6">
        <w:rPr>
          <w:szCs w:val="20"/>
        </w:rPr>
        <w:t>shape</w:t>
      </w:r>
      <w:r w:rsidR="00CD7F7D" w:rsidRPr="009371D6">
        <w:rPr>
          <w:szCs w:val="20"/>
        </w:rPr>
        <w:t xml:space="preserve"> negotiations with potential training providers</w:t>
      </w:r>
      <w:r w:rsidR="00D44DB4" w:rsidRPr="009371D6">
        <w:rPr>
          <w:szCs w:val="20"/>
        </w:rPr>
        <w:t>.</w:t>
      </w:r>
    </w:p>
    <w:p w14:paraId="03C49586" w14:textId="77777777" w:rsidR="00D44DB4" w:rsidRPr="009371D6" w:rsidRDefault="00D44DB4" w:rsidP="008829AF">
      <w:pPr>
        <w:rPr>
          <w:szCs w:val="20"/>
        </w:rPr>
      </w:pPr>
    </w:p>
    <w:p w14:paraId="30726054" w14:textId="1E8F6E44" w:rsidR="00A93057" w:rsidRPr="009371D6" w:rsidRDefault="00F950F5" w:rsidP="008829AF">
      <w:pPr>
        <w:rPr>
          <w:szCs w:val="20"/>
        </w:rPr>
      </w:pPr>
      <w:r w:rsidRPr="009371D6">
        <w:rPr>
          <w:szCs w:val="20"/>
        </w:rPr>
        <w:t xml:space="preserve">Most new entrants </w:t>
      </w:r>
      <w:r w:rsidR="00212E56" w:rsidRPr="009371D6">
        <w:rPr>
          <w:szCs w:val="20"/>
        </w:rPr>
        <w:t xml:space="preserve">to the industry </w:t>
      </w:r>
      <w:r w:rsidR="00213754" w:rsidRPr="009371D6">
        <w:rPr>
          <w:szCs w:val="20"/>
        </w:rPr>
        <w:t xml:space="preserve">have </w:t>
      </w:r>
      <w:r w:rsidR="001E48CC" w:rsidRPr="009371D6">
        <w:rPr>
          <w:szCs w:val="20"/>
        </w:rPr>
        <w:t xml:space="preserve">limited </w:t>
      </w:r>
      <w:r w:rsidR="00036F67" w:rsidRPr="009371D6">
        <w:rPr>
          <w:szCs w:val="20"/>
        </w:rPr>
        <w:t>job</w:t>
      </w:r>
      <w:r w:rsidR="001E48CC" w:rsidRPr="009371D6">
        <w:rPr>
          <w:szCs w:val="20"/>
        </w:rPr>
        <w:t xml:space="preserve"> experience and low educational attainment.</w:t>
      </w:r>
      <w:r w:rsidR="00036F67" w:rsidRPr="009371D6">
        <w:rPr>
          <w:szCs w:val="20"/>
        </w:rPr>
        <w:t xml:space="preserve"> </w:t>
      </w:r>
      <w:r w:rsidR="00A37892" w:rsidRPr="009371D6">
        <w:rPr>
          <w:szCs w:val="20"/>
        </w:rPr>
        <w:t xml:space="preserve">On commencement of work, </w:t>
      </w:r>
      <w:r w:rsidR="009654EA" w:rsidRPr="009371D6">
        <w:rPr>
          <w:szCs w:val="20"/>
        </w:rPr>
        <w:t xml:space="preserve">employers </w:t>
      </w:r>
      <w:r w:rsidR="00C52D32" w:rsidRPr="009371D6">
        <w:rPr>
          <w:szCs w:val="20"/>
        </w:rPr>
        <w:t xml:space="preserve">often </w:t>
      </w:r>
      <w:r w:rsidR="009654EA" w:rsidRPr="009371D6">
        <w:rPr>
          <w:szCs w:val="20"/>
        </w:rPr>
        <w:t xml:space="preserve">facilitate </w:t>
      </w:r>
      <w:r w:rsidR="00A37892" w:rsidRPr="009371D6">
        <w:rPr>
          <w:szCs w:val="20"/>
        </w:rPr>
        <w:t>new workers</w:t>
      </w:r>
      <w:r w:rsidR="00C52D32" w:rsidRPr="009371D6">
        <w:rPr>
          <w:szCs w:val="20"/>
        </w:rPr>
        <w:t xml:space="preserve">’ enrolment in </w:t>
      </w:r>
      <w:r w:rsidR="00036F67" w:rsidRPr="009371D6">
        <w:rPr>
          <w:szCs w:val="20"/>
        </w:rPr>
        <w:t>formal qualifications</w:t>
      </w:r>
      <w:r w:rsidR="00A35580" w:rsidRPr="009371D6">
        <w:rPr>
          <w:szCs w:val="20"/>
        </w:rPr>
        <w:t xml:space="preserve"> such as the </w:t>
      </w:r>
      <w:r w:rsidR="007B0C1E" w:rsidRPr="009371D6">
        <w:rPr>
          <w:i/>
          <w:iCs/>
          <w:szCs w:val="20"/>
        </w:rPr>
        <w:t>Certificate II in Meat Processing (Abattoirs)</w:t>
      </w:r>
      <w:r w:rsidR="00FE1193" w:rsidRPr="009371D6">
        <w:rPr>
          <w:szCs w:val="20"/>
        </w:rPr>
        <w:t xml:space="preserve">; however, due to high turnover rates, only around half of workers complete their qualifications. </w:t>
      </w:r>
      <w:r w:rsidR="005844DD" w:rsidRPr="009371D6">
        <w:rPr>
          <w:szCs w:val="20"/>
        </w:rPr>
        <w:t xml:space="preserve">Meanwhile, </w:t>
      </w:r>
      <w:r w:rsidR="00A93057" w:rsidRPr="009371D6">
        <w:rPr>
          <w:szCs w:val="20"/>
        </w:rPr>
        <w:t xml:space="preserve">new </w:t>
      </w:r>
      <w:r w:rsidR="005844DD" w:rsidRPr="009371D6">
        <w:rPr>
          <w:szCs w:val="20"/>
        </w:rPr>
        <w:t xml:space="preserve">workers </w:t>
      </w:r>
      <w:r w:rsidR="00A93057" w:rsidRPr="009371D6">
        <w:rPr>
          <w:szCs w:val="20"/>
        </w:rPr>
        <w:t xml:space="preserve">who are </w:t>
      </w:r>
      <w:r w:rsidR="005844DD" w:rsidRPr="009371D6">
        <w:rPr>
          <w:szCs w:val="20"/>
        </w:rPr>
        <w:t>t</w:t>
      </w:r>
      <w:r w:rsidR="00253C13" w:rsidRPr="009371D6">
        <w:rPr>
          <w:szCs w:val="20"/>
        </w:rPr>
        <w:t xml:space="preserve">emporary visas </w:t>
      </w:r>
      <w:r w:rsidR="00A93057" w:rsidRPr="009371D6">
        <w:rPr>
          <w:szCs w:val="20"/>
        </w:rPr>
        <w:t xml:space="preserve">holders will </w:t>
      </w:r>
      <w:r w:rsidR="00341316" w:rsidRPr="009371D6">
        <w:rPr>
          <w:szCs w:val="20"/>
        </w:rPr>
        <w:t xml:space="preserve">usually </w:t>
      </w:r>
      <w:r w:rsidR="00A93057" w:rsidRPr="009371D6">
        <w:rPr>
          <w:szCs w:val="20"/>
        </w:rPr>
        <w:t xml:space="preserve">only be </w:t>
      </w:r>
      <w:r w:rsidR="00036F67" w:rsidRPr="009371D6">
        <w:rPr>
          <w:szCs w:val="20"/>
        </w:rPr>
        <w:t xml:space="preserve">trained in </w:t>
      </w:r>
      <w:r w:rsidR="00A93057" w:rsidRPr="009371D6">
        <w:rPr>
          <w:szCs w:val="20"/>
        </w:rPr>
        <w:t xml:space="preserve">foundational </w:t>
      </w:r>
      <w:r w:rsidR="00036F67" w:rsidRPr="009371D6">
        <w:rPr>
          <w:szCs w:val="20"/>
        </w:rPr>
        <w:t>hygiene, health and safety protocols</w:t>
      </w:r>
      <w:r w:rsidR="002C43DF" w:rsidRPr="009371D6">
        <w:rPr>
          <w:szCs w:val="20"/>
          <w:vertAlign w:val="superscript"/>
        </w:rPr>
        <w:footnoteReference w:id="53"/>
      </w:r>
      <w:r w:rsidR="00036F67" w:rsidRPr="009371D6">
        <w:rPr>
          <w:szCs w:val="20"/>
        </w:rPr>
        <w:t xml:space="preserve">. </w:t>
      </w:r>
    </w:p>
    <w:p w14:paraId="4FF9BA88" w14:textId="77777777" w:rsidR="00A93057" w:rsidRPr="009371D6" w:rsidRDefault="00A93057" w:rsidP="008829AF">
      <w:pPr>
        <w:rPr>
          <w:szCs w:val="20"/>
        </w:rPr>
      </w:pPr>
    </w:p>
    <w:p w14:paraId="15119230" w14:textId="7985544D" w:rsidR="00FA042A" w:rsidRPr="009371D6" w:rsidRDefault="006E52BC" w:rsidP="008829AF">
      <w:pPr>
        <w:rPr>
          <w:szCs w:val="20"/>
        </w:rPr>
      </w:pPr>
      <w:r w:rsidRPr="009371D6">
        <w:rPr>
          <w:szCs w:val="20"/>
        </w:rPr>
        <w:t xml:space="preserve">On completion of </w:t>
      </w:r>
      <w:r w:rsidR="00062F95" w:rsidRPr="009371D6">
        <w:rPr>
          <w:szCs w:val="20"/>
        </w:rPr>
        <w:t>qualifications, m</w:t>
      </w:r>
      <w:r w:rsidR="00427D95" w:rsidRPr="009371D6">
        <w:rPr>
          <w:szCs w:val="20"/>
        </w:rPr>
        <w:t xml:space="preserve">any businesses </w:t>
      </w:r>
      <w:r w:rsidR="00517C92" w:rsidRPr="009371D6">
        <w:rPr>
          <w:szCs w:val="20"/>
        </w:rPr>
        <w:t xml:space="preserve">encourage </w:t>
      </w:r>
      <w:r w:rsidR="00036F67" w:rsidRPr="009371D6">
        <w:rPr>
          <w:szCs w:val="20"/>
        </w:rPr>
        <w:t>workers</w:t>
      </w:r>
      <w:r w:rsidR="00517C92" w:rsidRPr="009371D6">
        <w:rPr>
          <w:szCs w:val="20"/>
        </w:rPr>
        <w:t xml:space="preserve"> to</w:t>
      </w:r>
      <w:r w:rsidR="00427D95" w:rsidRPr="009371D6">
        <w:rPr>
          <w:szCs w:val="20"/>
        </w:rPr>
        <w:t xml:space="preserve"> enrol </w:t>
      </w:r>
      <w:r w:rsidR="00036F67" w:rsidRPr="009371D6">
        <w:rPr>
          <w:szCs w:val="20"/>
        </w:rPr>
        <w:t>in higher</w:t>
      </w:r>
      <w:r w:rsidR="00FA042A" w:rsidRPr="009371D6">
        <w:rPr>
          <w:szCs w:val="20"/>
        </w:rPr>
        <w:t>-level</w:t>
      </w:r>
      <w:r w:rsidR="00036F67" w:rsidRPr="009371D6">
        <w:rPr>
          <w:szCs w:val="20"/>
        </w:rPr>
        <w:t xml:space="preserve"> qualification</w:t>
      </w:r>
      <w:r w:rsidR="00FA042A" w:rsidRPr="009371D6">
        <w:rPr>
          <w:szCs w:val="20"/>
        </w:rPr>
        <w:t>s</w:t>
      </w:r>
      <w:r w:rsidR="00036F67" w:rsidRPr="009371D6">
        <w:rPr>
          <w:szCs w:val="20"/>
        </w:rPr>
        <w:t xml:space="preserve"> or skills sets</w:t>
      </w:r>
      <w:r w:rsidR="00062F95" w:rsidRPr="009371D6">
        <w:rPr>
          <w:szCs w:val="20"/>
        </w:rPr>
        <w:t xml:space="preserve"> if it appropriate to their development</w:t>
      </w:r>
      <w:r w:rsidR="00C80A04" w:rsidRPr="009371D6">
        <w:rPr>
          <w:szCs w:val="20"/>
        </w:rPr>
        <w:t xml:space="preserve"> and career </w:t>
      </w:r>
      <w:r w:rsidR="00867489" w:rsidRPr="009371D6">
        <w:rPr>
          <w:szCs w:val="20"/>
        </w:rPr>
        <w:t>pathway</w:t>
      </w:r>
      <w:r w:rsidR="00036F67" w:rsidRPr="009371D6">
        <w:rPr>
          <w:szCs w:val="20"/>
        </w:rPr>
        <w:t xml:space="preserve">. </w:t>
      </w:r>
      <w:r w:rsidR="00275211" w:rsidRPr="009371D6">
        <w:rPr>
          <w:szCs w:val="20"/>
        </w:rPr>
        <w:t xml:space="preserve">This training is chosen to suit the </w:t>
      </w:r>
      <w:r w:rsidR="00E84DA7" w:rsidRPr="009371D6">
        <w:rPr>
          <w:szCs w:val="20"/>
        </w:rPr>
        <w:t>job</w:t>
      </w:r>
      <w:r w:rsidR="00341385" w:rsidRPr="009371D6">
        <w:rPr>
          <w:szCs w:val="20"/>
        </w:rPr>
        <w:t xml:space="preserve">, which </w:t>
      </w:r>
      <w:r w:rsidR="00E84DA7" w:rsidRPr="009371D6">
        <w:rPr>
          <w:szCs w:val="20"/>
        </w:rPr>
        <w:t xml:space="preserve">is not necessarily </w:t>
      </w:r>
      <w:r w:rsidR="00341385" w:rsidRPr="009371D6">
        <w:rPr>
          <w:szCs w:val="20"/>
        </w:rPr>
        <w:t>meat-specific, and can be in areas such as human resources (HR)</w:t>
      </w:r>
      <w:r w:rsidR="00067EDD" w:rsidRPr="009371D6">
        <w:rPr>
          <w:szCs w:val="20"/>
        </w:rPr>
        <w:t xml:space="preserve">, </w:t>
      </w:r>
      <w:r w:rsidR="00341385" w:rsidRPr="009371D6">
        <w:rPr>
          <w:szCs w:val="20"/>
        </w:rPr>
        <w:t>workplace health and safety (WHS)</w:t>
      </w:r>
      <w:r w:rsidR="00067EDD" w:rsidRPr="009371D6">
        <w:rPr>
          <w:szCs w:val="20"/>
        </w:rPr>
        <w:t xml:space="preserve">, </w:t>
      </w:r>
      <w:r w:rsidR="006C0598" w:rsidRPr="009371D6">
        <w:rPr>
          <w:szCs w:val="20"/>
        </w:rPr>
        <w:t xml:space="preserve">marketing, and </w:t>
      </w:r>
      <w:r w:rsidR="00067EDD" w:rsidRPr="009371D6">
        <w:rPr>
          <w:szCs w:val="20"/>
        </w:rPr>
        <w:t>shipping and logistics</w:t>
      </w:r>
      <w:r w:rsidR="00341385" w:rsidRPr="009371D6">
        <w:rPr>
          <w:szCs w:val="20"/>
        </w:rPr>
        <w:t>.</w:t>
      </w:r>
      <w:r w:rsidR="00AF1DB3" w:rsidRPr="009371D6">
        <w:rPr>
          <w:szCs w:val="20"/>
        </w:rPr>
        <w:t xml:space="preserve"> E</w:t>
      </w:r>
      <w:r w:rsidR="00E26C6A" w:rsidRPr="009371D6">
        <w:rPr>
          <w:szCs w:val="20"/>
        </w:rPr>
        <w:t>mployers report that</w:t>
      </w:r>
      <w:r w:rsidR="00C36A58" w:rsidRPr="009371D6">
        <w:rPr>
          <w:szCs w:val="20"/>
        </w:rPr>
        <w:t xml:space="preserve">, alongside these </w:t>
      </w:r>
      <w:r w:rsidR="00625886" w:rsidRPr="009371D6">
        <w:rPr>
          <w:szCs w:val="20"/>
        </w:rPr>
        <w:t>workers with higher level employability skills,</w:t>
      </w:r>
      <w:r w:rsidR="00E26C6A" w:rsidRPr="009371D6">
        <w:rPr>
          <w:szCs w:val="20"/>
        </w:rPr>
        <w:t xml:space="preserve"> a large proportion of </w:t>
      </w:r>
      <w:r w:rsidR="00625886" w:rsidRPr="009371D6">
        <w:rPr>
          <w:szCs w:val="20"/>
        </w:rPr>
        <w:t xml:space="preserve">the labour force </w:t>
      </w:r>
      <w:r w:rsidR="000C0BC2" w:rsidRPr="009371D6">
        <w:rPr>
          <w:szCs w:val="20"/>
        </w:rPr>
        <w:t xml:space="preserve">are </w:t>
      </w:r>
      <w:r w:rsidR="003C612C" w:rsidRPr="009371D6">
        <w:rPr>
          <w:szCs w:val="20"/>
        </w:rPr>
        <w:t>reluctant</w:t>
      </w:r>
      <w:r w:rsidR="000C0BC2" w:rsidRPr="009371D6">
        <w:rPr>
          <w:szCs w:val="20"/>
        </w:rPr>
        <w:t xml:space="preserve"> to undertake formal training due to </w:t>
      </w:r>
      <w:r w:rsidR="00E26C6A" w:rsidRPr="009371D6">
        <w:rPr>
          <w:szCs w:val="20"/>
        </w:rPr>
        <w:t xml:space="preserve">language or literacy </w:t>
      </w:r>
      <w:r w:rsidR="000C0BC2" w:rsidRPr="009371D6">
        <w:rPr>
          <w:szCs w:val="20"/>
        </w:rPr>
        <w:t>challenges</w:t>
      </w:r>
      <w:r w:rsidR="00937264" w:rsidRPr="009371D6">
        <w:rPr>
          <w:szCs w:val="20"/>
        </w:rPr>
        <w:t xml:space="preserve">, but </w:t>
      </w:r>
      <w:r w:rsidR="00082462" w:rsidRPr="009371D6">
        <w:rPr>
          <w:szCs w:val="20"/>
        </w:rPr>
        <w:t>will retain positions requiring knife skills</w:t>
      </w:r>
      <w:r w:rsidR="000C0BC2" w:rsidRPr="009371D6">
        <w:rPr>
          <w:szCs w:val="20"/>
        </w:rPr>
        <w:t xml:space="preserve">. </w:t>
      </w:r>
    </w:p>
    <w:p w14:paraId="58896526" w14:textId="77777777" w:rsidR="00FA042A" w:rsidRPr="009371D6" w:rsidRDefault="00FA042A" w:rsidP="008829AF">
      <w:pPr>
        <w:rPr>
          <w:szCs w:val="20"/>
        </w:rPr>
      </w:pPr>
    </w:p>
    <w:p w14:paraId="37412BDC" w14:textId="4737ECEC" w:rsidR="008829AF" w:rsidRPr="009371D6" w:rsidRDefault="00F426FC" w:rsidP="008829AF">
      <w:pPr>
        <w:rPr>
          <w:szCs w:val="20"/>
        </w:rPr>
      </w:pPr>
      <w:r w:rsidRPr="009371D6">
        <w:rPr>
          <w:szCs w:val="20"/>
        </w:rPr>
        <w:t xml:space="preserve">Non-formal and informal training is </w:t>
      </w:r>
      <w:r w:rsidR="005A5A62" w:rsidRPr="009371D6">
        <w:rPr>
          <w:szCs w:val="20"/>
        </w:rPr>
        <w:t>often</w:t>
      </w:r>
      <w:r w:rsidRPr="009371D6">
        <w:rPr>
          <w:szCs w:val="20"/>
        </w:rPr>
        <w:t xml:space="preserve"> used to complement and enhance employees’ VET learning.</w:t>
      </w:r>
      <w:r w:rsidR="00E70D80" w:rsidRPr="009371D6">
        <w:rPr>
          <w:szCs w:val="20"/>
        </w:rPr>
        <w:t xml:space="preserve"> </w:t>
      </w:r>
      <w:r w:rsidR="00694691" w:rsidRPr="009371D6">
        <w:rPr>
          <w:szCs w:val="20"/>
        </w:rPr>
        <w:t xml:space="preserve">Larger businesses may retain in-house trainers and assessors who deliver internal programs, </w:t>
      </w:r>
      <w:r w:rsidR="00C64F17" w:rsidRPr="009371D6">
        <w:rPr>
          <w:szCs w:val="20"/>
        </w:rPr>
        <w:t>perhaps</w:t>
      </w:r>
      <w:r w:rsidR="00694691" w:rsidRPr="009371D6">
        <w:rPr>
          <w:szCs w:val="20"/>
        </w:rPr>
        <w:t xml:space="preserve"> designed with reference to VET training packages.</w:t>
      </w:r>
      <w:r w:rsidR="00266172" w:rsidRPr="009371D6">
        <w:rPr>
          <w:szCs w:val="20"/>
        </w:rPr>
        <w:t xml:space="preserve"> </w:t>
      </w:r>
      <w:r w:rsidR="00E70D80" w:rsidRPr="009371D6">
        <w:rPr>
          <w:szCs w:val="20"/>
        </w:rPr>
        <w:t xml:space="preserve">Regardless </w:t>
      </w:r>
      <w:r w:rsidR="00200842" w:rsidRPr="009371D6">
        <w:rPr>
          <w:szCs w:val="20"/>
        </w:rPr>
        <w:t xml:space="preserve">of </w:t>
      </w:r>
      <w:r w:rsidR="00C05698" w:rsidRPr="009371D6">
        <w:rPr>
          <w:szCs w:val="20"/>
        </w:rPr>
        <w:t>the provider, m</w:t>
      </w:r>
      <w:r w:rsidRPr="009371D6">
        <w:rPr>
          <w:szCs w:val="20"/>
        </w:rPr>
        <w:t xml:space="preserve">ost formal and </w:t>
      </w:r>
      <w:r w:rsidR="00333424" w:rsidRPr="009371D6">
        <w:rPr>
          <w:szCs w:val="20"/>
        </w:rPr>
        <w:t>non-</w:t>
      </w:r>
      <w:r w:rsidRPr="009371D6">
        <w:rPr>
          <w:szCs w:val="20"/>
        </w:rPr>
        <w:t xml:space="preserve">formal training </w:t>
      </w:r>
      <w:r w:rsidR="00036F67" w:rsidRPr="009371D6">
        <w:rPr>
          <w:szCs w:val="20"/>
        </w:rPr>
        <w:t>is delivered on</w:t>
      </w:r>
      <w:r w:rsidR="00333424" w:rsidRPr="009371D6">
        <w:rPr>
          <w:szCs w:val="20"/>
        </w:rPr>
        <w:t>-</w:t>
      </w:r>
      <w:r w:rsidR="00036F67" w:rsidRPr="009371D6">
        <w:rPr>
          <w:szCs w:val="20"/>
        </w:rPr>
        <w:t>the</w:t>
      </w:r>
      <w:r w:rsidR="00333424" w:rsidRPr="009371D6">
        <w:rPr>
          <w:szCs w:val="20"/>
        </w:rPr>
        <w:t>-</w:t>
      </w:r>
      <w:r w:rsidR="00036F67" w:rsidRPr="009371D6">
        <w:rPr>
          <w:szCs w:val="20"/>
        </w:rPr>
        <w:t>job</w:t>
      </w:r>
      <w:r w:rsidR="00C05698" w:rsidRPr="009371D6">
        <w:rPr>
          <w:szCs w:val="20"/>
        </w:rPr>
        <w:t xml:space="preserve"> due to the </w:t>
      </w:r>
      <w:r w:rsidR="000E438E" w:rsidRPr="009371D6">
        <w:rPr>
          <w:szCs w:val="20"/>
        </w:rPr>
        <w:t xml:space="preserve">practical, </w:t>
      </w:r>
      <w:r w:rsidR="0052753C" w:rsidRPr="009371D6">
        <w:rPr>
          <w:szCs w:val="20"/>
        </w:rPr>
        <w:t xml:space="preserve">tactile nature of </w:t>
      </w:r>
      <w:r w:rsidR="00333424" w:rsidRPr="009371D6">
        <w:rPr>
          <w:szCs w:val="20"/>
        </w:rPr>
        <w:t>most</w:t>
      </w:r>
      <w:r w:rsidR="0052753C" w:rsidRPr="009371D6">
        <w:rPr>
          <w:szCs w:val="20"/>
        </w:rPr>
        <w:t xml:space="preserve"> </w:t>
      </w:r>
      <w:r w:rsidR="000E438E" w:rsidRPr="009371D6">
        <w:rPr>
          <w:szCs w:val="20"/>
        </w:rPr>
        <w:t>tasks</w:t>
      </w:r>
      <w:r w:rsidR="00036F67" w:rsidRPr="009371D6">
        <w:rPr>
          <w:szCs w:val="20"/>
        </w:rPr>
        <w:t xml:space="preserve">. </w:t>
      </w:r>
      <w:r w:rsidR="00717EDD" w:rsidRPr="009371D6">
        <w:rPr>
          <w:szCs w:val="20"/>
        </w:rPr>
        <w:t>COVID-19</w:t>
      </w:r>
      <w:r w:rsidR="00AD42AC" w:rsidRPr="009371D6">
        <w:rPr>
          <w:szCs w:val="20"/>
        </w:rPr>
        <w:t>, however,</w:t>
      </w:r>
      <w:r w:rsidR="00717EDD" w:rsidRPr="009371D6">
        <w:rPr>
          <w:szCs w:val="20"/>
        </w:rPr>
        <w:t xml:space="preserve"> </w:t>
      </w:r>
      <w:r w:rsidR="00AD42AC" w:rsidRPr="009371D6">
        <w:rPr>
          <w:szCs w:val="20"/>
        </w:rPr>
        <w:t xml:space="preserve">caused </w:t>
      </w:r>
      <w:r w:rsidR="00D950A5" w:rsidRPr="009371D6">
        <w:rPr>
          <w:szCs w:val="20"/>
        </w:rPr>
        <w:t>m</w:t>
      </w:r>
      <w:r w:rsidR="00717EDD" w:rsidRPr="009371D6">
        <w:rPr>
          <w:szCs w:val="20"/>
        </w:rPr>
        <w:t xml:space="preserve">any businesses </w:t>
      </w:r>
      <w:r w:rsidR="00AD42AC" w:rsidRPr="009371D6">
        <w:rPr>
          <w:szCs w:val="20"/>
        </w:rPr>
        <w:t xml:space="preserve">to </w:t>
      </w:r>
      <w:r w:rsidR="007B3BC6" w:rsidRPr="009371D6">
        <w:rPr>
          <w:szCs w:val="20"/>
        </w:rPr>
        <w:t>paus</w:t>
      </w:r>
      <w:r w:rsidR="00AD42AC" w:rsidRPr="009371D6">
        <w:rPr>
          <w:szCs w:val="20"/>
        </w:rPr>
        <w:t>e</w:t>
      </w:r>
      <w:r w:rsidR="007B3BC6" w:rsidRPr="009371D6">
        <w:rPr>
          <w:szCs w:val="20"/>
        </w:rPr>
        <w:t xml:space="preserve"> </w:t>
      </w:r>
      <w:r w:rsidR="00717EDD" w:rsidRPr="009371D6">
        <w:rPr>
          <w:szCs w:val="20"/>
        </w:rPr>
        <w:t xml:space="preserve">arrangements for training providers to enter the workplace </w:t>
      </w:r>
      <w:r w:rsidR="00A871D9" w:rsidRPr="009371D6">
        <w:rPr>
          <w:szCs w:val="20"/>
        </w:rPr>
        <w:t xml:space="preserve">to deliver </w:t>
      </w:r>
      <w:r w:rsidR="00717EDD" w:rsidRPr="009371D6">
        <w:rPr>
          <w:szCs w:val="20"/>
        </w:rPr>
        <w:lastRenderedPageBreak/>
        <w:t>training and assessment</w:t>
      </w:r>
      <w:r w:rsidR="008829AF" w:rsidRPr="009371D6">
        <w:rPr>
          <w:rStyle w:val="FootnoteReference"/>
          <w:sz w:val="20"/>
          <w:szCs w:val="20"/>
        </w:rPr>
        <w:footnoteReference w:id="54"/>
      </w:r>
      <w:r w:rsidR="008F31A0" w:rsidRPr="009371D6">
        <w:rPr>
          <w:szCs w:val="20"/>
        </w:rPr>
        <w:t xml:space="preserve">. </w:t>
      </w:r>
      <w:r w:rsidR="00483D62" w:rsidRPr="009371D6">
        <w:rPr>
          <w:szCs w:val="20"/>
        </w:rPr>
        <w:t>While COVID-related restrictions have eased, discontinuity in the development of new workers ha</w:t>
      </w:r>
      <w:r w:rsidR="007B2F78" w:rsidRPr="009371D6">
        <w:rPr>
          <w:szCs w:val="20"/>
        </w:rPr>
        <w:t>s</w:t>
      </w:r>
      <w:r w:rsidR="00483D62" w:rsidRPr="009371D6">
        <w:rPr>
          <w:szCs w:val="20"/>
        </w:rPr>
        <w:t xml:space="preserve"> increased pressure on businesses</w:t>
      </w:r>
      <w:r w:rsidR="007B2F78" w:rsidRPr="009371D6">
        <w:rPr>
          <w:szCs w:val="20"/>
        </w:rPr>
        <w:t>, while also</w:t>
      </w:r>
      <w:r w:rsidR="00CB000D" w:rsidRPr="009371D6">
        <w:rPr>
          <w:szCs w:val="20"/>
        </w:rPr>
        <w:t xml:space="preserve"> deflat</w:t>
      </w:r>
      <w:r w:rsidR="007B2F78" w:rsidRPr="009371D6">
        <w:rPr>
          <w:szCs w:val="20"/>
        </w:rPr>
        <w:t>ing</w:t>
      </w:r>
      <w:r w:rsidR="00CB000D" w:rsidRPr="009371D6">
        <w:rPr>
          <w:szCs w:val="20"/>
        </w:rPr>
        <w:t xml:space="preserve"> </w:t>
      </w:r>
      <w:r w:rsidR="00CB000D" w:rsidRPr="009371D6">
        <w:rPr>
          <w:i/>
          <w:iCs/>
          <w:szCs w:val="20"/>
        </w:rPr>
        <w:t>AMP Training Package</w:t>
      </w:r>
      <w:r w:rsidR="00CB000D" w:rsidRPr="009371D6">
        <w:rPr>
          <w:szCs w:val="20"/>
        </w:rPr>
        <w:t xml:space="preserve"> enrolments </w:t>
      </w:r>
      <w:r w:rsidR="003307B3" w:rsidRPr="009371D6">
        <w:rPr>
          <w:szCs w:val="20"/>
        </w:rPr>
        <w:t xml:space="preserve">because there has been </w:t>
      </w:r>
      <w:r w:rsidR="004E483F" w:rsidRPr="009371D6">
        <w:rPr>
          <w:szCs w:val="20"/>
        </w:rPr>
        <w:t xml:space="preserve">a lower intake of new learners </w:t>
      </w:r>
      <w:r w:rsidR="003307B3" w:rsidRPr="009371D6">
        <w:rPr>
          <w:szCs w:val="20"/>
        </w:rPr>
        <w:t xml:space="preserve">while </w:t>
      </w:r>
      <w:r w:rsidR="00380405" w:rsidRPr="009371D6">
        <w:rPr>
          <w:szCs w:val="20"/>
        </w:rPr>
        <w:t xml:space="preserve">enrolees from previous years </w:t>
      </w:r>
      <w:r w:rsidR="004E483F" w:rsidRPr="009371D6">
        <w:rPr>
          <w:szCs w:val="20"/>
        </w:rPr>
        <w:t xml:space="preserve">re-engage in their training. </w:t>
      </w:r>
    </w:p>
    <w:p w14:paraId="35EC0DFE" w14:textId="0072C925" w:rsidR="008829AF" w:rsidRDefault="008829AF" w:rsidP="008829AF"/>
    <w:p w14:paraId="2F2BA5EA" w14:textId="5EB56ACA" w:rsidR="00A62CCD" w:rsidRPr="009371D6" w:rsidRDefault="00790A97" w:rsidP="002D6DB5">
      <w:pPr>
        <w:rPr>
          <w:szCs w:val="20"/>
        </w:rPr>
      </w:pPr>
      <w:r w:rsidRPr="009371D6">
        <w:rPr>
          <w:szCs w:val="20"/>
        </w:rPr>
        <w:t xml:space="preserve">In response to the </w:t>
      </w:r>
      <w:r w:rsidR="00805B48" w:rsidRPr="009371D6">
        <w:rPr>
          <w:szCs w:val="20"/>
        </w:rPr>
        <w:t>challenges meat processors experience in recruiting, training and retaining staff</w:t>
      </w:r>
      <w:r w:rsidR="006361EE" w:rsidRPr="009371D6">
        <w:rPr>
          <w:szCs w:val="20"/>
        </w:rPr>
        <w:t xml:space="preserve">, </w:t>
      </w:r>
      <w:r w:rsidR="004C021D" w:rsidRPr="009371D6">
        <w:rPr>
          <w:szCs w:val="20"/>
        </w:rPr>
        <w:t xml:space="preserve">industry have been working with innovative training providers such as </w:t>
      </w:r>
      <w:r w:rsidR="009B6820" w:rsidRPr="009371D6">
        <w:rPr>
          <w:szCs w:val="20"/>
        </w:rPr>
        <w:t>Virtually There</w:t>
      </w:r>
      <w:r w:rsidR="0034552C" w:rsidRPr="009371D6">
        <w:rPr>
          <w:rStyle w:val="FootnoteReference"/>
          <w:sz w:val="20"/>
          <w:szCs w:val="20"/>
        </w:rPr>
        <w:footnoteReference w:id="55"/>
      </w:r>
      <w:r w:rsidR="009B6820" w:rsidRPr="009371D6">
        <w:rPr>
          <w:szCs w:val="20"/>
        </w:rPr>
        <w:t xml:space="preserve"> </w:t>
      </w:r>
      <w:r w:rsidR="004C021D" w:rsidRPr="009371D6">
        <w:rPr>
          <w:szCs w:val="20"/>
        </w:rPr>
        <w:t xml:space="preserve">to develop </w:t>
      </w:r>
      <w:r w:rsidR="006D3BA8" w:rsidRPr="009371D6">
        <w:rPr>
          <w:szCs w:val="20"/>
        </w:rPr>
        <w:t xml:space="preserve">immersive </w:t>
      </w:r>
      <w:r w:rsidR="00A65231" w:rsidRPr="009371D6">
        <w:rPr>
          <w:szCs w:val="20"/>
        </w:rPr>
        <w:t xml:space="preserve">online </w:t>
      </w:r>
      <w:r w:rsidR="006D3BA8" w:rsidRPr="009371D6">
        <w:rPr>
          <w:szCs w:val="20"/>
        </w:rPr>
        <w:t>virtual reality (VR) programs</w:t>
      </w:r>
      <w:r w:rsidR="00C41FE6" w:rsidRPr="009371D6">
        <w:rPr>
          <w:szCs w:val="20"/>
        </w:rPr>
        <w:t xml:space="preserve"> that introduce </w:t>
      </w:r>
      <w:r w:rsidR="00B15192" w:rsidRPr="009371D6">
        <w:rPr>
          <w:szCs w:val="20"/>
        </w:rPr>
        <w:t xml:space="preserve">people to working in abattoirs. </w:t>
      </w:r>
      <w:r w:rsidR="00D70278" w:rsidRPr="009371D6">
        <w:rPr>
          <w:szCs w:val="20"/>
        </w:rPr>
        <w:t>The</w:t>
      </w:r>
      <w:r w:rsidR="00434267" w:rsidRPr="009371D6">
        <w:rPr>
          <w:szCs w:val="20"/>
        </w:rPr>
        <w:t xml:space="preserve"> gamification of learning is reported to have great potential for developing learners’ skills and knowledge </w:t>
      </w:r>
      <w:r w:rsidR="004D362C" w:rsidRPr="009371D6">
        <w:rPr>
          <w:szCs w:val="20"/>
        </w:rPr>
        <w:t>in identifying cuts of meat</w:t>
      </w:r>
      <w:r w:rsidR="00B53F26" w:rsidRPr="009371D6">
        <w:rPr>
          <w:szCs w:val="20"/>
        </w:rPr>
        <w:t xml:space="preserve"> and using tools to sharpen knives and </w:t>
      </w:r>
      <w:r w:rsidR="008D2798" w:rsidRPr="009371D6">
        <w:rPr>
          <w:szCs w:val="20"/>
        </w:rPr>
        <w:t>bone</w:t>
      </w:r>
      <w:r w:rsidR="00B53F26" w:rsidRPr="009371D6">
        <w:rPr>
          <w:szCs w:val="20"/>
        </w:rPr>
        <w:t xml:space="preserve"> carcasses.  </w:t>
      </w:r>
    </w:p>
    <w:p w14:paraId="41DFBC1B" w14:textId="1EB40D37" w:rsidR="00810FA7" w:rsidRDefault="00810FA7" w:rsidP="00810FA7">
      <w:pPr>
        <w:pStyle w:val="Heading3"/>
      </w:pPr>
      <w:bookmarkStart w:id="53" w:name="_Toc115363711"/>
      <w:bookmarkStart w:id="54" w:name="RRR"/>
      <w:r>
        <w:t>Regional</w:t>
      </w:r>
      <w:r w:rsidR="00520779">
        <w:t xml:space="preserve">, </w:t>
      </w:r>
      <w:r w:rsidR="00520779" w:rsidRPr="00810FA7">
        <w:t>Rura</w:t>
      </w:r>
      <w:r w:rsidR="00520779">
        <w:t>l</w:t>
      </w:r>
      <w:r>
        <w:t xml:space="preserve"> &amp; Remote Summary</w:t>
      </w:r>
      <w:bookmarkEnd w:id="53"/>
    </w:p>
    <w:p w14:paraId="79AF32D7" w14:textId="261DB612" w:rsidR="00313A5D" w:rsidRPr="009371D6" w:rsidRDefault="006C5DE1" w:rsidP="00B67477">
      <w:pPr>
        <w:rPr>
          <w:szCs w:val="20"/>
        </w:rPr>
      </w:pPr>
      <w:r w:rsidRPr="009371D6">
        <w:rPr>
          <w:szCs w:val="20"/>
        </w:rPr>
        <w:t>M</w:t>
      </w:r>
      <w:r w:rsidR="00313A5D" w:rsidRPr="009371D6">
        <w:rPr>
          <w:szCs w:val="20"/>
        </w:rPr>
        <w:t>eat processing businesses are commonly located in rural areas</w:t>
      </w:r>
      <w:r w:rsidR="006B208B" w:rsidRPr="009371D6">
        <w:rPr>
          <w:szCs w:val="20"/>
        </w:rPr>
        <w:t xml:space="preserve"> </w:t>
      </w:r>
      <w:r w:rsidR="00600DBA" w:rsidRPr="009371D6">
        <w:rPr>
          <w:szCs w:val="20"/>
        </w:rPr>
        <w:t xml:space="preserve">to reap the benefits of </w:t>
      </w:r>
      <w:r w:rsidR="00442B8C" w:rsidRPr="009371D6">
        <w:rPr>
          <w:szCs w:val="20"/>
        </w:rPr>
        <w:t xml:space="preserve">lower land prices and </w:t>
      </w:r>
      <w:r w:rsidR="00600DBA" w:rsidRPr="009371D6">
        <w:rPr>
          <w:szCs w:val="20"/>
        </w:rPr>
        <w:t xml:space="preserve">being </w:t>
      </w:r>
      <w:r w:rsidR="00313A5D" w:rsidRPr="009371D6">
        <w:rPr>
          <w:szCs w:val="20"/>
        </w:rPr>
        <w:t>close to livestock producers</w:t>
      </w:r>
      <w:r w:rsidR="00FB03A1" w:rsidRPr="009371D6">
        <w:rPr>
          <w:szCs w:val="20"/>
        </w:rPr>
        <w:t>. Th</w:t>
      </w:r>
      <w:r w:rsidR="00581891" w:rsidRPr="009371D6">
        <w:rPr>
          <w:szCs w:val="20"/>
        </w:rPr>
        <w:t xml:space="preserve">is </w:t>
      </w:r>
      <w:r w:rsidR="004957CC" w:rsidRPr="009371D6">
        <w:rPr>
          <w:szCs w:val="20"/>
        </w:rPr>
        <w:t>reduce</w:t>
      </w:r>
      <w:r w:rsidR="00581891" w:rsidRPr="009371D6">
        <w:rPr>
          <w:szCs w:val="20"/>
        </w:rPr>
        <w:t>s</w:t>
      </w:r>
      <w:r w:rsidR="00313A5D" w:rsidRPr="009371D6">
        <w:rPr>
          <w:szCs w:val="20"/>
        </w:rPr>
        <w:t xml:space="preserve"> transport costs for </w:t>
      </w:r>
      <w:r w:rsidR="00F355DE" w:rsidRPr="009371D6">
        <w:rPr>
          <w:szCs w:val="20"/>
        </w:rPr>
        <w:t xml:space="preserve">animals and </w:t>
      </w:r>
      <w:r w:rsidR="00313A5D" w:rsidRPr="009371D6">
        <w:rPr>
          <w:szCs w:val="20"/>
        </w:rPr>
        <w:t>carcasses</w:t>
      </w:r>
      <w:r w:rsidR="008F7859" w:rsidRPr="009371D6">
        <w:rPr>
          <w:szCs w:val="20"/>
        </w:rPr>
        <w:t xml:space="preserve"> and </w:t>
      </w:r>
      <w:r w:rsidR="00313A5D" w:rsidRPr="009371D6">
        <w:rPr>
          <w:szCs w:val="20"/>
        </w:rPr>
        <w:t xml:space="preserve">livestock </w:t>
      </w:r>
      <w:r w:rsidR="00581891" w:rsidRPr="009371D6">
        <w:rPr>
          <w:szCs w:val="20"/>
        </w:rPr>
        <w:t>are</w:t>
      </w:r>
      <w:r w:rsidR="00B852EB" w:rsidRPr="009371D6">
        <w:rPr>
          <w:szCs w:val="20"/>
        </w:rPr>
        <w:t xml:space="preserve"> </w:t>
      </w:r>
      <w:r w:rsidR="00313A5D" w:rsidRPr="009371D6">
        <w:rPr>
          <w:szCs w:val="20"/>
        </w:rPr>
        <w:t>held in transit</w:t>
      </w:r>
      <w:r w:rsidR="00B852EB" w:rsidRPr="009371D6">
        <w:rPr>
          <w:szCs w:val="20"/>
        </w:rPr>
        <w:t xml:space="preserve"> for less time</w:t>
      </w:r>
      <w:r w:rsidR="00313A5D" w:rsidRPr="009371D6">
        <w:rPr>
          <w:szCs w:val="20"/>
        </w:rPr>
        <w:t xml:space="preserve">, which </w:t>
      </w:r>
      <w:r w:rsidR="00A45CC7" w:rsidRPr="009371D6">
        <w:rPr>
          <w:szCs w:val="20"/>
        </w:rPr>
        <w:t>lessens</w:t>
      </w:r>
      <w:r w:rsidR="00313A5D" w:rsidRPr="009371D6">
        <w:rPr>
          <w:szCs w:val="20"/>
        </w:rPr>
        <w:t xml:space="preserve"> </w:t>
      </w:r>
      <w:r w:rsidR="004957CC" w:rsidRPr="009371D6">
        <w:rPr>
          <w:szCs w:val="20"/>
        </w:rPr>
        <w:t xml:space="preserve">incidents of </w:t>
      </w:r>
      <w:r w:rsidR="008F7859" w:rsidRPr="009371D6">
        <w:rPr>
          <w:szCs w:val="20"/>
        </w:rPr>
        <w:t xml:space="preserve">stress and </w:t>
      </w:r>
      <w:r w:rsidR="00313A5D" w:rsidRPr="009371D6">
        <w:rPr>
          <w:szCs w:val="20"/>
        </w:rPr>
        <w:t xml:space="preserve">bruising during transportation. </w:t>
      </w:r>
      <w:r w:rsidR="006D0B75" w:rsidRPr="009371D6">
        <w:rPr>
          <w:szCs w:val="20"/>
        </w:rPr>
        <w:t>There is also a</w:t>
      </w:r>
      <w:r w:rsidR="00313A5D" w:rsidRPr="009371D6">
        <w:rPr>
          <w:szCs w:val="20"/>
        </w:rPr>
        <w:t>n increas</w:t>
      </w:r>
      <w:r w:rsidR="006D0B75" w:rsidRPr="009371D6">
        <w:rPr>
          <w:szCs w:val="20"/>
        </w:rPr>
        <w:t>ing</w:t>
      </w:r>
      <w:r w:rsidR="00313A5D" w:rsidRPr="009371D6">
        <w:rPr>
          <w:szCs w:val="20"/>
        </w:rPr>
        <w:t xml:space="preserve"> number of meat processors </w:t>
      </w:r>
      <w:r w:rsidR="006D0B75" w:rsidRPr="009371D6">
        <w:rPr>
          <w:szCs w:val="20"/>
        </w:rPr>
        <w:t xml:space="preserve">who </w:t>
      </w:r>
      <w:r w:rsidR="000A4CF9" w:rsidRPr="009371D6">
        <w:rPr>
          <w:szCs w:val="20"/>
        </w:rPr>
        <w:t>purchase</w:t>
      </w:r>
      <w:r w:rsidR="006D0B75" w:rsidRPr="009371D6">
        <w:rPr>
          <w:szCs w:val="20"/>
        </w:rPr>
        <w:t xml:space="preserve"> </w:t>
      </w:r>
      <w:r w:rsidR="00313A5D" w:rsidRPr="009371D6">
        <w:rPr>
          <w:szCs w:val="20"/>
        </w:rPr>
        <w:t xml:space="preserve">feedlots </w:t>
      </w:r>
      <w:r w:rsidR="000A4CF9" w:rsidRPr="009371D6">
        <w:rPr>
          <w:szCs w:val="20"/>
        </w:rPr>
        <w:t xml:space="preserve">close to </w:t>
      </w:r>
      <w:r w:rsidR="00313A5D" w:rsidRPr="009371D6">
        <w:rPr>
          <w:szCs w:val="20"/>
        </w:rPr>
        <w:t>the</w:t>
      </w:r>
      <w:r w:rsidR="000A4CF9" w:rsidRPr="009371D6">
        <w:rPr>
          <w:szCs w:val="20"/>
        </w:rPr>
        <w:t>ir</w:t>
      </w:r>
      <w:r w:rsidR="00313A5D" w:rsidRPr="009371D6">
        <w:rPr>
          <w:szCs w:val="20"/>
        </w:rPr>
        <w:t xml:space="preserve"> abattoir</w:t>
      </w:r>
      <w:r w:rsidR="002419F5" w:rsidRPr="009371D6">
        <w:rPr>
          <w:szCs w:val="20"/>
        </w:rPr>
        <w:t>s</w:t>
      </w:r>
      <w:r w:rsidR="00313A5D" w:rsidRPr="009371D6">
        <w:rPr>
          <w:szCs w:val="20"/>
        </w:rPr>
        <w:t xml:space="preserve"> </w:t>
      </w:r>
      <w:r w:rsidR="002419F5" w:rsidRPr="009371D6">
        <w:rPr>
          <w:szCs w:val="20"/>
        </w:rPr>
        <w:t xml:space="preserve">to maximise the efficiency of livestock </w:t>
      </w:r>
      <w:r w:rsidR="0094194A" w:rsidRPr="009371D6">
        <w:rPr>
          <w:szCs w:val="20"/>
        </w:rPr>
        <w:t xml:space="preserve">supply, </w:t>
      </w:r>
      <w:r w:rsidR="002419F5" w:rsidRPr="009371D6">
        <w:rPr>
          <w:szCs w:val="20"/>
        </w:rPr>
        <w:t>operations and transport</w:t>
      </w:r>
      <w:r w:rsidR="0094194A" w:rsidRPr="009371D6">
        <w:rPr>
          <w:rStyle w:val="FootnoteReference"/>
          <w:sz w:val="20"/>
          <w:szCs w:val="20"/>
        </w:rPr>
        <w:footnoteReference w:id="56"/>
      </w:r>
      <w:r w:rsidR="0094194A" w:rsidRPr="009371D6">
        <w:rPr>
          <w:szCs w:val="20"/>
        </w:rPr>
        <w:t>.</w:t>
      </w:r>
    </w:p>
    <w:p w14:paraId="61C13D45" w14:textId="77777777" w:rsidR="00313A5D" w:rsidRPr="009371D6" w:rsidRDefault="00313A5D" w:rsidP="00B67477">
      <w:pPr>
        <w:rPr>
          <w:szCs w:val="20"/>
        </w:rPr>
      </w:pPr>
    </w:p>
    <w:p w14:paraId="0D0113AD" w14:textId="169511BC" w:rsidR="00B67477" w:rsidRPr="009371D6" w:rsidRDefault="00B44350" w:rsidP="00B67477">
      <w:pPr>
        <w:rPr>
          <w:szCs w:val="20"/>
        </w:rPr>
      </w:pPr>
      <w:r w:rsidRPr="009371D6">
        <w:rPr>
          <w:szCs w:val="20"/>
        </w:rPr>
        <w:t>Alongside these situational advantages, there are challenges for m</w:t>
      </w:r>
      <w:r w:rsidR="00262A36" w:rsidRPr="009371D6">
        <w:rPr>
          <w:szCs w:val="20"/>
        </w:rPr>
        <w:t xml:space="preserve">eat processors </w:t>
      </w:r>
      <w:r w:rsidR="0054307C" w:rsidRPr="009371D6">
        <w:rPr>
          <w:szCs w:val="20"/>
        </w:rPr>
        <w:t>access</w:t>
      </w:r>
      <w:r w:rsidR="00DE1BA4" w:rsidRPr="009371D6">
        <w:rPr>
          <w:szCs w:val="20"/>
        </w:rPr>
        <w:t>ing</w:t>
      </w:r>
      <w:r w:rsidR="0054307C" w:rsidRPr="009371D6">
        <w:rPr>
          <w:szCs w:val="20"/>
        </w:rPr>
        <w:t xml:space="preserve"> skilled workers</w:t>
      </w:r>
      <w:r w:rsidR="005F6A1E" w:rsidRPr="009371D6">
        <w:rPr>
          <w:szCs w:val="20"/>
        </w:rPr>
        <w:t xml:space="preserve"> in regional</w:t>
      </w:r>
      <w:r w:rsidR="006A4F3D">
        <w:rPr>
          <w:szCs w:val="20"/>
        </w:rPr>
        <w:t xml:space="preserve"> and rural</w:t>
      </w:r>
      <w:r w:rsidR="005F6A1E" w:rsidRPr="009371D6">
        <w:rPr>
          <w:szCs w:val="20"/>
        </w:rPr>
        <w:t xml:space="preserve"> locations. </w:t>
      </w:r>
      <w:r w:rsidR="00320AC0" w:rsidRPr="009371D6">
        <w:rPr>
          <w:szCs w:val="20"/>
        </w:rPr>
        <w:t xml:space="preserve">Low unemployment rates </w:t>
      </w:r>
      <w:r w:rsidR="007C77DD" w:rsidRPr="009371D6">
        <w:rPr>
          <w:szCs w:val="20"/>
        </w:rPr>
        <w:t xml:space="preserve">often </w:t>
      </w:r>
      <w:r w:rsidR="00A93581" w:rsidRPr="009371D6">
        <w:rPr>
          <w:szCs w:val="20"/>
        </w:rPr>
        <w:t>mean</w:t>
      </w:r>
      <w:r w:rsidR="00050C1A" w:rsidRPr="009371D6">
        <w:rPr>
          <w:szCs w:val="20"/>
        </w:rPr>
        <w:t xml:space="preserve"> there are few opportunities to recruit locals. </w:t>
      </w:r>
      <w:r w:rsidR="007C77DD" w:rsidRPr="009371D6">
        <w:rPr>
          <w:szCs w:val="20"/>
        </w:rPr>
        <w:t xml:space="preserve">For potential workers </w:t>
      </w:r>
      <w:r w:rsidR="000828D6" w:rsidRPr="009371D6">
        <w:rPr>
          <w:szCs w:val="20"/>
        </w:rPr>
        <w:t>from urban areas, a</w:t>
      </w:r>
      <w:r w:rsidR="0054307C" w:rsidRPr="009371D6">
        <w:rPr>
          <w:szCs w:val="20"/>
        </w:rPr>
        <w:t xml:space="preserve"> lack of infrastructure and services </w:t>
      </w:r>
      <w:r w:rsidR="005E5263" w:rsidRPr="009371D6">
        <w:rPr>
          <w:szCs w:val="20"/>
        </w:rPr>
        <w:t xml:space="preserve">means migrating </w:t>
      </w:r>
      <w:r w:rsidR="0054307C" w:rsidRPr="009371D6">
        <w:rPr>
          <w:szCs w:val="20"/>
        </w:rPr>
        <w:t xml:space="preserve">to </w:t>
      </w:r>
      <w:r w:rsidR="009C4074" w:rsidRPr="009371D6">
        <w:rPr>
          <w:szCs w:val="20"/>
        </w:rPr>
        <w:t xml:space="preserve">regional </w:t>
      </w:r>
      <w:r w:rsidR="006A4F3D">
        <w:rPr>
          <w:szCs w:val="20"/>
        </w:rPr>
        <w:t xml:space="preserve">and rural </w:t>
      </w:r>
      <w:r w:rsidR="0054307C" w:rsidRPr="009371D6">
        <w:rPr>
          <w:szCs w:val="20"/>
        </w:rPr>
        <w:t xml:space="preserve">locations </w:t>
      </w:r>
      <w:r w:rsidR="009C4074" w:rsidRPr="009371D6">
        <w:rPr>
          <w:szCs w:val="20"/>
        </w:rPr>
        <w:t xml:space="preserve">can be </w:t>
      </w:r>
      <w:r w:rsidR="0054307C" w:rsidRPr="009371D6">
        <w:rPr>
          <w:szCs w:val="20"/>
        </w:rPr>
        <w:t>an unattractive proposition</w:t>
      </w:r>
      <w:r w:rsidR="009F5031" w:rsidRPr="009371D6">
        <w:rPr>
          <w:szCs w:val="20"/>
        </w:rPr>
        <w:t>.</w:t>
      </w:r>
      <w:r w:rsidR="0054307C" w:rsidRPr="009371D6">
        <w:rPr>
          <w:szCs w:val="20"/>
        </w:rPr>
        <w:t xml:space="preserve"> </w:t>
      </w:r>
      <w:r w:rsidR="009F5031" w:rsidRPr="009371D6">
        <w:rPr>
          <w:szCs w:val="20"/>
        </w:rPr>
        <w:t>B</w:t>
      </w:r>
      <w:r w:rsidR="0054307C" w:rsidRPr="009371D6">
        <w:rPr>
          <w:szCs w:val="20"/>
        </w:rPr>
        <w:t xml:space="preserve">usinesses are </w:t>
      </w:r>
      <w:r w:rsidR="009F5031" w:rsidRPr="009371D6">
        <w:rPr>
          <w:szCs w:val="20"/>
        </w:rPr>
        <w:t xml:space="preserve">then </w:t>
      </w:r>
      <w:r w:rsidR="0054307C" w:rsidRPr="009371D6">
        <w:rPr>
          <w:szCs w:val="20"/>
        </w:rPr>
        <w:t xml:space="preserve">forced to </w:t>
      </w:r>
      <w:r w:rsidR="00B9626E" w:rsidRPr="009371D6">
        <w:rPr>
          <w:szCs w:val="20"/>
        </w:rPr>
        <w:t xml:space="preserve">offer </w:t>
      </w:r>
      <w:r w:rsidR="0054307C" w:rsidRPr="009371D6">
        <w:rPr>
          <w:szCs w:val="20"/>
        </w:rPr>
        <w:t>incentiv</w:t>
      </w:r>
      <w:r w:rsidR="00B9626E" w:rsidRPr="009371D6">
        <w:rPr>
          <w:szCs w:val="20"/>
        </w:rPr>
        <w:t>es thr</w:t>
      </w:r>
      <w:r w:rsidR="009F5031" w:rsidRPr="009371D6">
        <w:rPr>
          <w:szCs w:val="20"/>
        </w:rPr>
        <w:t xml:space="preserve">ough </w:t>
      </w:r>
      <w:r w:rsidR="0054307C" w:rsidRPr="009371D6">
        <w:rPr>
          <w:szCs w:val="20"/>
        </w:rPr>
        <w:t xml:space="preserve">higher wages, </w:t>
      </w:r>
      <w:r w:rsidR="009F5031" w:rsidRPr="009371D6">
        <w:rPr>
          <w:szCs w:val="20"/>
        </w:rPr>
        <w:t xml:space="preserve">but this </w:t>
      </w:r>
      <w:r w:rsidR="0054307C" w:rsidRPr="009371D6">
        <w:rPr>
          <w:szCs w:val="20"/>
        </w:rPr>
        <w:t xml:space="preserve">can be </w:t>
      </w:r>
      <w:r w:rsidR="00F05B34" w:rsidRPr="009371D6">
        <w:rPr>
          <w:szCs w:val="20"/>
        </w:rPr>
        <w:t xml:space="preserve">financially </w:t>
      </w:r>
      <w:r w:rsidR="0054307C" w:rsidRPr="009371D6">
        <w:rPr>
          <w:szCs w:val="20"/>
        </w:rPr>
        <w:t xml:space="preserve">challenging </w:t>
      </w:r>
      <w:r w:rsidR="004B3508" w:rsidRPr="009371D6">
        <w:rPr>
          <w:szCs w:val="20"/>
        </w:rPr>
        <w:t xml:space="preserve">and </w:t>
      </w:r>
      <w:r w:rsidR="004D2B7B" w:rsidRPr="009371D6">
        <w:rPr>
          <w:szCs w:val="20"/>
        </w:rPr>
        <w:t xml:space="preserve">often </w:t>
      </w:r>
      <w:r w:rsidR="00A62D6A" w:rsidRPr="009371D6">
        <w:rPr>
          <w:szCs w:val="20"/>
        </w:rPr>
        <w:t xml:space="preserve">still </w:t>
      </w:r>
      <w:r w:rsidR="004D2B7B" w:rsidRPr="009371D6">
        <w:rPr>
          <w:szCs w:val="20"/>
        </w:rPr>
        <w:t xml:space="preserve">falls short of </w:t>
      </w:r>
      <w:r w:rsidR="00A62D6A" w:rsidRPr="009371D6">
        <w:rPr>
          <w:szCs w:val="20"/>
        </w:rPr>
        <w:t xml:space="preserve">the rates offered </w:t>
      </w:r>
      <w:r w:rsidR="006F7A26" w:rsidRPr="009371D6">
        <w:rPr>
          <w:szCs w:val="20"/>
        </w:rPr>
        <w:t>by</w:t>
      </w:r>
      <w:r w:rsidR="00A62D6A" w:rsidRPr="009371D6">
        <w:rPr>
          <w:szCs w:val="20"/>
        </w:rPr>
        <w:t xml:space="preserve"> mining and </w:t>
      </w:r>
      <w:r w:rsidR="00A015E9" w:rsidRPr="009371D6">
        <w:rPr>
          <w:szCs w:val="20"/>
        </w:rPr>
        <w:t>solar farm businesses</w:t>
      </w:r>
      <w:r w:rsidR="00A62D6A" w:rsidRPr="009371D6">
        <w:rPr>
          <w:szCs w:val="20"/>
        </w:rPr>
        <w:t>.</w:t>
      </w:r>
    </w:p>
    <w:p w14:paraId="7D2B7FC7" w14:textId="77777777" w:rsidR="00A65231" w:rsidRPr="009371D6" w:rsidRDefault="00A65231" w:rsidP="00B67477">
      <w:pPr>
        <w:rPr>
          <w:szCs w:val="20"/>
        </w:rPr>
      </w:pPr>
    </w:p>
    <w:p w14:paraId="48B1DFE3" w14:textId="3E11BE4D" w:rsidR="00A03713" w:rsidRPr="009371D6" w:rsidRDefault="00E2369A" w:rsidP="00415055">
      <w:pPr>
        <w:rPr>
          <w:szCs w:val="20"/>
        </w:rPr>
      </w:pPr>
      <w:r w:rsidRPr="009371D6">
        <w:rPr>
          <w:szCs w:val="20"/>
        </w:rPr>
        <w:t>There are f</w:t>
      </w:r>
      <w:r w:rsidR="00F05B34" w:rsidRPr="009371D6">
        <w:rPr>
          <w:szCs w:val="20"/>
        </w:rPr>
        <w:t>urther practical cha</w:t>
      </w:r>
      <w:r w:rsidRPr="009371D6">
        <w:rPr>
          <w:szCs w:val="20"/>
        </w:rPr>
        <w:t>llenges associated with a</w:t>
      </w:r>
      <w:r w:rsidR="00AE0757" w:rsidRPr="009371D6">
        <w:rPr>
          <w:szCs w:val="20"/>
        </w:rPr>
        <w:t>ccommodation</w:t>
      </w:r>
      <w:r w:rsidRPr="009371D6">
        <w:rPr>
          <w:szCs w:val="20"/>
        </w:rPr>
        <w:t xml:space="preserve">. Housing can be very expensive in some areas, making it difficult for new workers to establish themselves. </w:t>
      </w:r>
      <w:r w:rsidR="000440B2" w:rsidRPr="009371D6">
        <w:rPr>
          <w:szCs w:val="20"/>
        </w:rPr>
        <w:t>Travel is another logistical challenge because w</w:t>
      </w:r>
      <w:r w:rsidR="00435B25" w:rsidRPr="009371D6">
        <w:rPr>
          <w:szCs w:val="20"/>
        </w:rPr>
        <w:t>ork s</w:t>
      </w:r>
      <w:r w:rsidR="00A03713" w:rsidRPr="009371D6">
        <w:rPr>
          <w:szCs w:val="20"/>
        </w:rPr>
        <w:t xml:space="preserve">hifts </w:t>
      </w:r>
      <w:r w:rsidR="000440B2" w:rsidRPr="009371D6">
        <w:rPr>
          <w:szCs w:val="20"/>
        </w:rPr>
        <w:t>tend to</w:t>
      </w:r>
      <w:r w:rsidR="00A03713" w:rsidRPr="009371D6">
        <w:rPr>
          <w:szCs w:val="20"/>
        </w:rPr>
        <w:t xml:space="preserve"> commence </w:t>
      </w:r>
      <w:r w:rsidR="000440B2" w:rsidRPr="009371D6">
        <w:rPr>
          <w:szCs w:val="20"/>
        </w:rPr>
        <w:t>at around 5:30am</w:t>
      </w:r>
      <w:r w:rsidR="00A03713" w:rsidRPr="009371D6">
        <w:rPr>
          <w:szCs w:val="20"/>
        </w:rPr>
        <w:t xml:space="preserve"> before public transport begins operating. Ride sharing </w:t>
      </w:r>
      <w:r w:rsidR="00034DEE" w:rsidRPr="009371D6">
        <w:rPr>
          <w:szCs w:val="20"/>
        </w:rPr>
        <w:t xml:space="preserve">agreements </w:t>
      </w:r>
      <w:r w:rsidR="00A03713" w:rsidRPr="009371D6">
        <w:rPr>
          <w:szCs w:val="20"/>
        </w:rPr>
        <w:t xml:space="preserve">are difficult to maintain as people </w:t>
      </w:r>
      <w:r w:rsidR="00034DEE" w:rsidRPr="009371D6">
        <w:rPr>
          <w:szCs w:val="20"/>
        </w:rPr>
        <w:t xml:space="preserve">may </w:t>
      </w:r>
      <w:r w:rsidR="00A03713" w:rsidRPr="009371D6">
        <w:rPr>
          <w:szCs w:val="20"/>
        </w:rPr>
        <w:t>live significant distances from one another</w:t>
      </w:r>
      <w:r w:rsidR="00034DEE" w:rsidRPr="009371D6">
        <w:rPr>
          <w:szCs w:val="20"/>
        </w:rPr>
        <w:t>. During the height of COVID-19</w:t>
      </w:r>
      <w:r w:rsidR="00E71167" w:rsidRPr="009371D6">
        <w:rPr>
          <w:szCs w:val="20"/>
        </w:rPr>
        <w:t xml:space="preserve"> </w:t>
      </w:r>
      <w:r w:rsidR="00034DEE" w:rsidRPr="009371D6">
        <w:rPr>
          <w:szCs w:val="20"/>
        </w:rPr>
        <w:t xml:space="preserve">restrictions, co-habitation and ride sharing </w:t>
      </w:r>
      <w:r w:rsidR="00866906" w:rsidRPr="009371D6">
        <w:rPr>
          <w:szCs w:val="20"/>
        </w:rPr>
        <w:t xml:space="preserve">arrangements were </w:t>
      </w:r>
      <w:r w:rsidR="00034DEE" w:rsidRPr="009371D6">
        <w:rPr>
          <w:szCs w:val="20"/>
        </w:rPr>
        <w:t xml:space="preserve">also identified as </w:t>
      </w:r>
      <w:r w:rsidR="00866906" w:rsidRPr="009371D6">
        <w:rPr>
          <w:szCs w:val="20"/>
        </w:rPr>
        <w:t xml:space="preserve">responsible for </w:t>
      </w:r>
      <w:r w:rsidR="00491F00" w:rsidRPr="009371D6">
        <w:rPr>
          <w:szCs w:val="20"/>
        </w:rPr>
        <w:t>outbreak clusters.</w:t>
      </w:r>
    </w:p>
    <w:p w14:paraId="2B760C8A" w14:textId="77777777" w:rsidR="00415055" w:rsidRPr="009371D6" w:rsidRDefault="00415055" w:rsidP="00415055">
      <w:pPr>
        <w:rPr>
          <w:szCs w:val="20"/>
        </w:rPr>
      </w:pPr>
    </w:p>
    <w:p w14:paraId="70AABFF6" w14:textId="04842D3B" w:rsidR="00B70F77" w:rsidRPr="009371D6" w:rsidRDefault="00B70F77" w:rsidP="00B70F77">
      <w:pPr>
        <w:rPr>
          <w:szCs w:val="20"/>
        </w:rPr>
      </w:pPr>
      <w:r w:rsidRPr="009371D6">
        <w:rPr>
          <w:szCs w:val="20"/>
        </w:rPr>
        <w:t xml:space="preserve">The sustainability and growth of regional Australia and its industries is entwined with factors such as the viability of businesses and their ability to attract and develop the next generation of workers. This, according to the </w:t>
      </w:r>
      <w:r w:rsidR="00443623" w:rsidRPr="009371D6">
        <w:rPr>
          <w:i/>
          <w:iCs/>
          <w:szCs w:val="20"/>
        </w:rPr>
        <w:t>National Regional, Rural and Remote Tertiary Education Strategy</w:t>
      </w:r>
      <w:r w:rsidR="00443623" w:rsidRPr="009371D6">
        <w:rPr>
          <w:szCs w:val="20"/>
        </w:rPr>
        <w:t xml:space="preserve"> (‘the Napthine Review’)</w:t>
      </w:r>
      <w:r w:rsidR="00443623" w:rsidRPr="009371D6">
        <w:rPr>
          <w:rStyle w:val="FootnoteReference"/>
          <w:sz w:val="20"/>
          <w:szCs w:val="20"/>
        </w:rPr>
        <w:footnoteReference w:id="57"/>
      </w:r>
      <w:r w:rsidRPr="009371D6">
        <w:rPr>
          <w:szCs w:val="20"/>
        </w:rPr>
        <w:t>, is facilitated by the provision of tertiary education:</w:t>
      </w:r>
    </w:p>
    <w:p w14:paraId="61933A6C" w14:textId="77777777" w:rsidR="00B70F77" w:rsidRPr="009371D6" w:rsidRDefault="00B70F77" w:rsidP="00B70F77">
      <w:pPr>
        <w:rPr>
          <w:szCs w:val="20"/>
        </w:rPr>
      </w:pPr>
    </w:p>
    <w:p w14:paraId="68353D63" w14:textId="4571E1A2" w:rsidR="00B70F77" w:rsidRPr="009371D6" w:rsidRDefault="00B70F77" w:rsidP="00B70F77">
      <w:pPr>
        <w:ind w:left="720"/>
        <w:rPr>
          <w:szCs w:val="20"/>
        </w:rPr>
      </w:pPr>
      <w:r w:rsidRPr="009371D6">
        <w:rPr>
          <w:szCs w:val="20"/>
        </w:rPr>
        <w:t xml:space="preserve">‘Increased educational attainment across RRR </w:t>
      </w:r>
      <w:r w:rsidR="00104D4E" w:rsidRPr="009371D6">
        <w:rPr>
          <w:szCs w:val="20"/>
        </w:rPr>
        <w:t xml:space="preserve">[Regional, Rural and Remote] </w:t>
      </w:r>
      <w:r w:rsidRPr="009371D6">
        <w:rPr>
          <w:szCs w:val="20"/>
        </w:rPr>
        <w:t>communities will lead to increased productivity and further strengthen industries, economies and communities. Enhancing RRR industries and communities will also help to attract more students and professionals to the regions. Families will have greater confidence in relocating to, or remaining in, RRR locations if they know their children will have equal opportunities to undertake tertiary education. […] Investments to overcome the disparity in educational outcomes between metropolitan and RRR areas will ‘future proof’ Australia and provide the foundation for national success.’</w:t>
      </w:r>
    </w:p>
    <w:p w14:paraId="5D80FE57" w14:textId="77777777" w:rsidR="00B70F77" w:rsidRPr="009371D6" w:rsidRDefault="00B70F77" w:rsidP="00B70F77">
      <w:pPr>
        <w:ind w:left="720"/>
        <w:rPr>
          <w:i/>
          <w:iCs/>
          <w:color w:val="00843D"/>
          <w:szCs w:val="20"/>
        </w:rPr>
      </w:pPr>
      <w:r w:rsidRPr="009371D6">
        <w:rPr>
          <w:i/>
          <w:iCs/>
          <w:color w:val="00843D"/>
          <w:szCs w:val="20"/>
        </w:rPr>
        <w:t>Commonwealth of Australia (2019); National Regional, Rural and Remote Tertiary Education Strategy; pp.16-17</w:t>
      </w:r>
    </w:p>
    <w:p w14:paraId="38AA47B7" w14:textId="77777777" w:rsidR="00B70F77" w:rsidRPr="009371D6" w:rsidRDefault="00B70F77" w:rsidP="00B70F77">
      <w:pPr>
        <w:rPr>
          <w:szCs w:val="20"/>
        </w:rPr>
      </w:pPr>
    </w:p>
    <w:p w14:paraId="778E17D6" w14:textId="70CCEE38" w:rsidR="00B70F77" w:rsidRPr="009371D6" w:rsidRDefault="00950BA4" w:rsidP="00CE4101">
      <w:pPr>
        <w:rPr>
          <w:szCs w:val="20"/>
        </w:rPr>
      </w:pPr>
      <w:r w:rsidRPr="009371D6">
        <w:rPr>
          <w:szCs w:val="20"/>
        </w:rPr>
        <w:t xml:space="preserve">To help address the many challenges for providing adequate skills and training opportunities in regional Australia, </w:t>
      </w:r>
      <w:r w:rsidR="00E05824">
        <w:rPr>
          <w:szCs w:val="20"/>
        </w:rPr>
        <w:t xml:space="preserve">the Government appointed </w:t>
      </w:r>
      <w:r w:rsidRPr="009371D6">
        <w:rPr>
          <w:szCs w:val="20"/>
        </w:rPr>
        <w:t xml:space="preserve">Australia’s first Regional Education Commissioner </w:t>
      </w:r>
      <w:r w:rsidR="00E05824">
        <w:rPr>
          <w:szCs w:val="20"/>
        </w:rPr>
        <w:t xml:space="preserve">in December 2021. The Commissioner </w:t>
      </w:r>
      <w:r w:rsidRPr="009371D6">
        <w:rPr>
          <w:szCs w:val="20"/>
        </w:rPr>
        <w:t>will oversee implementation of recommendations from</w:t>
      </w:r>
      <w:r w:rsidR="00134E41" w:rsidRPr="009371D6">
        <w:rPr>
          <w:szCs w:val="20"/>
        </w:rPr>
        <w:t xml:space="preserve"> the Napthine Review.</w:t>
      </w:r>
      <w:r w:rsidRPr="009371D6">
        <w:rPr>
          <w:szCs w:val="20"/>
        </w:rPr>
        <w:t xml:space="preserve"> </w:t>
      </w:r>
      <w:r w:rsidR="00CE4101" w:rsidRPr="009371D6">
        <w:rPr>
          <w:szCs w:val="20"/>
        </w:rPr>
        <w:t>This</w:t>
      </w:r>
      <w:r w:rsidR="00B70F77" w:rsidRPr="009371D6">
        <w:rPr>
          <w:szCs w:val="20"/>
        </w:rPr>
        <w:t xml:space="preserve"> will complement the VET reform agenda as well as efforts by regional industries to improve productivity and profitability. The Transition Advisory Group</w:t>
      </w:r>
      <w:r w:rsidR="00B70F77" w:rsidRPr="009371D6">
        <w:rPr>
          <w:rStyle w:val="FootnoteReference"/>
          <w:sz w:val="20"/>
          <w:szCs w:val="20"/>
        </w:rPr>
        <w:footnoteReference w:id="58"/>
      </w:r>
      <w:r w:rsidR="00B70F77" w:rsidRPr="009371D6">
        <w:rPr>
          <w:szCs w:val="20"/>
        </w:rPr>
        <w:t xml:space="preserve"> are clear that businesses in regional areas must be adequately represented in the reformed VET system so that appropriate training is delivered where and when it is needed. This requires improving employer engagement with the national training system, creating collaborative relationships between employers and training providers and working towards longer-term workforce development objectives. </w:t>
      </w:r>
    </w:p>
    <w:p w14:paraId="370CA5A9" w14:textId="77777777" w:rsidR="00A03713" w:rsidRPr="009371D6" w:rsidRDefault="00A03713" w:rsidP="00B67477">
      <w:pPr>
        <w:rPr>
          <w:szCs w:val="20"/>
        </w:rPr>
      </w:pPr>
    </w:p>
    <w:p w14:paraId="1159C97D" w14:textId="05BD3371" w:rsidR="00B67477" w:rsidRPr="009371D6" w:rsidRDefault="00245008" w:rsidP="00B67477">
      <w:pPr>
        <w:rPr>
          <w:szCs w:val="20"/>
        </w:rPr>
      </w:pPr>
      <w:r w:rsidRPr="009371D6">
        <w:rPr>
          <w:szCs w:val="20"/>
        </w:rPr>
        <w:t xml:space="preserve">The </w:t>
      </w:r>
      <w:r w:rsidRPr="009371D6">
        <w:rPr>
          <w:i/>
          <w:iCs/>
          <w:szCs w:val="20"/>
        </w:rPr>
        <w:t>Agribusiness, Food and Fibre Industries Skills Report</w:t>
      </w:r>
      <w:r w:rsidRPr="009371D6">
        <w:rPr>
          <w:szCs w:val="20"/>
        </w:rPr>
        <w:t xml:space="preserve"> provides additional information on the many and intersecting challenges of stimulating industry growth, communities and skill and training opportunities in </w:t>
      </w:r>
      <w:r w:rsidR="00E05824" w:rsidRPr="009371D6">
        <w:rPr>
          <w:szCs w:val="20"/>
        </w:rPr>
        <w:t>regiona</w:t>
      </w:r>
      <w:r w:rsidR="00E05824">
        <w:rPr>
          <w:szCs w:val="20"/>
        </w:rPr>
        <w:t xml:space="preserve">l, </w:t>
      </w:r>
      <w:r w:rsidRPr="009371D6">
        <w:rPr>
          <w:szCs w:val="20"/>
        </w:rPr>
        <w:t xml:space="preserve">rural and remote areas. </w:t>
      </w:r>
    </w:p>
    <w:p w14:paraId="19900394" w14:textId="62599161" w:rsidR="00810FA7" w:rsidRDefault="00810FA7" w:rsidP="00810FA7">
      <w:pPr>
        <w:pStyle w:val="Heading3"/>
      </w:pPr>
      <w:bookmarkStart w:id="55" w:name="AboriginalTorresStraitIslander"/>
      <w:bookmarkStart w:id="56" w:name="_Toc115363712"/>
      <w:bookmarkEnd w:id="54"/>
      <w:r w:rsidRPr="00810FA7">
        <w:rPr>
          <w:rStyle w:val="Heading3Char"/>
        </w:rPr>
        <w:t>Abor</w:t>
      </w:r>
      <w:r>
        <w:t>iginal &amp; Torres Strait Islander Peoples Summary</w:t>
      </w:r>
      <w:bookmarkEnd w:id="55"/>
      <w:bookmarkEnd w:id="56"/>
    </w:p>
    <w:p w14:paraId="3B61F139" w14:textId="49C06A06" w:rsidR="00E40835" w:rsidRPr="009371D6" w:rsidRDefault="000C54B8" w:rsidP="00352475">
      <w:pPr>
        <w:rPr>
          <w:szCs w:val="20"/>
        </w:rPr>
      </w:pPr>
      <w:r w:rsidRPr="009371D6">
        <w:rPr>
          <w:szCs w:val="20"/>
        </w:rPr>
        <w:t>Referencing</w:t>
      </w:r>
      <w:r w:rsidR="00BD1000" w:rsidRPr="009371D6">
        <w:rPr>
          <w:szCs w:val="20"/>
        </w:rPr>
        <w:t xml:space="preserve"> 2016 Census data, </w:t>
      </w:r>
      <w:r w:rsidR="00E05824">
        <w:rPr>
          <w:szCs w:val="20"/>
        </w:rPr>
        <w:t>Meat and Livestock Australia (</w:t>
      </w:r>
      <w:r w:rsidR="00086F4E" w:rsidRPr="009371D6">
        <w:rPr>
          <w:szCs w:val="20"/>
        </w:rPr>
        <w:t>ML</w:t>
      </w:r>
      <w:r w:rsidR="00A656D7" w:rsidRPr="009371D6">
        <w:rPr>
          <w:szCs w:val="20"/>
        </w:rPr>
        <w:t>A</w:t>
      </w:r>
      <w:r w:rsidR="00E05824">
        <w:rPr>
          <w:szCs w:val="20"/>
        </w:rPr>
        <w:t>)</w:t>
      </w:r>
      <w:r w:rsidR="00A656D7" w:rsidRPr="009371D6">
        <w:rPr>
          <w:szCs w:val="20"/>
        </w:rPr>
        <w:t xml:space="preserve"> note that </w:t>
      </w:r>
      <w:r w:rsidR="00B61E1A" w:rsidRPr="009371D6">
        <w:rPr>
          <w:szCs w:val="20"/>
        </w:rPr>
        <w:t xml:space="preserve">Aboriginal and Torres Strait Islander people </w:t>
      </w:r>
      <w:r w:rsidR="00BD1000" w:rsidRPr="009371D6">
        <w:rPr>
          <w:szCs w:val="20"/>
        </w:rPr>
        <w:t>comprise</w:t>
      </w:r>
      <w:r w:rsidR="00B61E1A" w:rsidRPr="009371D6">
        <w:rPr>
          <w:szCs w:val="20"/>
        </w:rPr>
        <w:t>d</w:t>
      </w:r>
      <w:r w:rsidR="00BD1000" w:rsidRPr="009371D6">
        <w:rPr>
          <w:szCs w:val="20"/>
        </w:rPr>
        <w:t xml:space="preserve"> a higher proportion of the meat processing workforce </w:t>
      </w:r>
      <w:r w:rsidRPr="009371D6">
        <w:rPr>
          <w:szCs w:val="20"/>
        </w:rPr>
        <w:t xml:space="preserve">(2.8%) </w:t>
      </w:r>
      <w:r w:rsidR="00BD1000" w:rsidRPr="009371D6">
        <w:rPr>
          <w:szCs w:val="20"/>
        </w:rPr>
        <w:t xml:space="preserve">than </w:t>
      </w:r>
      <w:r w:rsidRPr="009371D6">
        <w:rPr>
          <w:szCs w:val="20"/>
        </w:rPr>
        <w:t>in</w:t>
      </w:r>
      <w:r w:rsidR="00BD1000" w:rsidRPr="009371D6">
        <w:rPr>
          <w:szCs w:val="20"/>
        </w:rPr>
        <w:t xml:space="preserve"> Australian industries in general </w:t>
      </w:r>
      <w:r w:rsidR="00A656D7" w:rsidRPr="009371D6">
        <w:rPr>
          <w:szCs w:val="20"/>
        </w:rPr>
        <w:t>(</w:t>
      </w:r>
      <w:r w:rsidR="00BD1000" w:rsidRPr="009371D6">
        <w:rPr>
          <w:szCs w:val="20"/>
        </w:rPr>
        <w:t>1.7%</w:t>
      </w:r>
      <w:r w:rsidR="00A656D7" w:rsidRPr="009371D6">
        <w:rPr>
          <w:szCs w:val="20"/>
        </w:rPr>
        <w:t>)</w:t>
      </w:r>
      <w:r w:rsidR="00131667" w:rsidRPr="009371D6">
        <w:rPr>
          <w:rStyle w:val="FootnoteReference"/>
          <w:sz w:val="20"/>
          <w:szCs w:val="20"/>
        </w:rPr>
        <w:footnoteReference w:id="59"/>
      </w:r>
      <w:r w:rsidR="00A656D7" w:rsidRPr="009371D6">
        <w:rPr>
          <w:szCs w:val="20"/>
        </w:rPr>
        <w:t xml:space="preserve">. </w:t>
      </w:r>
      <w:r w:rsidR="00E672AE" w:rsidRPr="009371D6">
        <w:rPr>
          <w:szCs w:val="20"/>
        </w:rPr>
        <w:t xml:space="preserve">The industry awaits </w:t>
      </w:r>
      <w:r w:rsidR="004233D6" w:rsidRPr="009371D6">
        <w:rPr>
          <w:szCs w:val="20"/>
        </w:rPr>
        <w:t xml:space="preserve">data from the 2021 Census </w:t>
      </w:r>
      <w:r w:rsidR="00E6330B" w:rsidRPr="009371D6">
        <w:rPr>
          <w:szCs w:val="20"/>
        </w:rPr>
        <w:t>(</w:t>
      </w:r>
      <w:r w:rsidR="00934BFD" w:rsidRPr="009371D6">
        <w:rPr>
          <w:szCs w:val="20"/>
        </w:rPr>
        <w:t>which is to be released in a staged approach between mid-2022 and mid-2023</w:t>
      </w:r>
      <w:r w:rsidR="00E6330B" w:rsidRPr="009371D6">
        <w:rPr>
          <w:szCs w:val="20"/>
        </w:rPr>
        <w:t xml:space="preserve">) </w:t>
      </w:r>
      <w:r w:rsidR="004233D6" w:rsidRPr="009371D6">
        <w:rPr>
          <w:szCs w:val="20"/>
        </w:rPr>
        <w:t xml:space="preserve">to effectively </w:t>
      </w:r>
      <w:r w:rsidR="00E6330B" w:rsidRPr="009371D6">
        <w:rPr>
          <w:szCs w:val="20"/>
        </w:rPr>
        <w:t>analyse progress on workforce diversity.</w:t>
      </w:r>
      <w:r w:rsidR="00660C2F" w:rsidRPr="009371D6">
        <w:rPr>
          <w:szCs w:val="20"/>
        </w:rPr>
        <w:t xml:space="preserve"> </w:t>
      </w:r>
      <w:r w:rsidR="00092A62" w:rsidRPr="009371D6">
        <w:rPr>
          <w:szCs w:val="20"/>
        </w:rPr>
        <w:t>While s</w:t>
      </w:r>
      <w:r w:rsidR="00660C2F" w:rsidRPr="009371D6">
        <w:rPr>
          <w:szCs w:val="20"/>
        </w:rPr>
        <w:t xml:space="preserve">ome stakeholders have expressed concerns over Indigenous representation in the </w:t>
      </w:r>
      <w:r w:rsidR="00D265E2" w:rsidRPr="009371D6">
        <w:rPr>
          <w:szCs w:val="20"/>
        </w:rPr>
        <w:t xml:space="preserve">meat value chain </w:t>
      </w:r>
      <w:r w:rsidR="00660C2F" w:rsidRPr="009371D6">
        <w:rPr>
          <w:szCs w:val="20"/>
        </w:rPr>
        <w:t>workforce</w:t>
      </w:r>
      <w:r w:rsidR="00D265E2" w:rsidRPr="009371D6">
        <w:rPr>
          <w:rStyle w:val="FootnoteReference"/>
          <w:sz w:val="20"/>
          <w:szCs w:val="20"/>
        </w:rPr>
        <w:footnoteReference w:id="60"/>
      </w:r>
      <w:r w:rsidR="00660C2F" w:rsidRPr="009371D6">
        <w:rPr>
          <w:szCs w:val="20"/>
        </w:rPr>
        <w:t xml:space="preserve">, </w:t>
      </w:r>
      <w:r w:rsidR="00092A62" w:rsidRPr="009371D6">
        <w:rPr>
          <w:szCs w:val="20"/>
        </w:rPr>
        <w:t xml:space="preserve">there are also notable </w:t>
      </w:r>
      <w:r w:rsidR="002F5C34" w:rsidRPr="009371D6">
        <w:rPr>
          <w:szCs w:val="20"/>
        </w:rPr>
        <w:t xml:space="preserve">ongoing </w:t>
      </w:r>
      <w:r w:rsidR="00092A62" w:rsidRPr="009371D6">
        <w:rPr>
          <w:szCs w:val="20"/>
        </w:rPr>
        <w:t xml:space="preserve">initiatives </w:t>
      </w:r>
      <w:r w:rsidR="002F5C34" w:rsidRPr="009371D6">
        <w:rPr>
          <w:szCs w:val="20"/>
        </w:rPr>
        <w:t xml:space="preserve">to support skills, training and employment </w:t>
      </w:r>
      <w:r w:rsidR="000E4CD3" w:rsidRPr="009371D6">
        <w:rPr>
          <w:szCs w:val="20"/>
        </w:rPr>
        <w:t>opportunities.</w:t>
      </w:r>
    </w:p>
    <w:p w14:paraId="7AB791B7" w14:textId="77777777" w:rsidR="00660C2F" w:rsidRPr="009371D6" w:rsidRDefault="00660C2F" w:rsidP="00352475">
      <w:pPr>
        <w:rPr>
          <w:szCs w:val="20"/>
        </w:rPr>
      </w:pPr>
    </w:p>
    <w:p w14:paraId="212B17B9" w14:textId="7939D1A4" w:rsidR="00352475" w:rsidRPr="009371D6" w:rsidRDefault="00A8463E" w:rsidP="00352475">
      <w:pPr>
        <w:rPr>
          <w:szCs w:val="20"/>
        </w:rPr>
      </w:pPr>
      <w:r w:rsidRPr="009371D6">
        <w:rPr>
          <w:szCs w:val="20"/>
        </w:rPr>
        <w:t xml:space="preserve">Assisted by the Indigenous Land and Sea Corporation (ILSC), </w:t>
      </w:r>
      <w:r w:rsidR="00045370" w:rsidRPr="009371D6">
        <w:rPr>
          <w:szCs w:val="20"/>
        </w:rPr>
        <w:t>Gunbalanya Meats operates a small abattoir and retail butcher shop in the community of Gunbalanya on West Arnhem Land in the N</w:t>
      </w:r>
      <w:r w:rsidR="00CC3089" w:rsidRPr="009371D6">
        <w:rPr>
          <w:szCs w:val="20"/>
        </w:rPr>
        <w:t xml:space="preserve">orthern </w:t>
      </w:r>
      <w:r w:rsidR="00045370" w:rsidRPr="009371D6">
        <w:rPr>
          <w:szCs w:val="20"/>
        </w:rPr>
        <w:t>T</w:t>
      </w:r>
      <w:r w:rsidR="00CC3089" w:rsidRPr="009371D6">
        <w:rPr>
          <w:szCs w:val="20"/>
        </w:rPr>
        <w:t>erritory</w:t>
      </w:r>
      <w:r w:rsidR="00045370" w:rsidRPr="009371D6">
        <w:rPr>
          <w:szCs w:val="20"/>
        </w:rPr>
        <w:t xml:space="preserve">. </w:t>
      </w:r>
      <w:r w:rsidR="001D5700" w:rsidRPr="009371D6">
        <w:rPr>
          <w:szCs w:val="20"/>
        </w:rPr>
        <w:t>B</w:t>
      </w:r>
      <w:r w:rsidR="00045370" w:rsidRPr="009371D6">
        <w:rPr>
          <w:szCs w:val="20"/>
        </w:rPr>
        <w:t>eef and buffalo meat</w:t>
      </w:r>
      <w:r w:rsidR="00E05824">
        <w:rPr>
          <w:szCs w:val="20"/>
        </w:rPr>
        <w:t xml:space="preserve"> are</w:t>
      </w:r>
      <w:r w:rsidR="00045370" w:rsidRPr="009371D6">
        <w:rPr>
          <w:szCs w:val="20"/>
        </w:rPr>
        <w:t xml:space="preserve"> processed and </w:t>
      </w:r>
      <w:r w:rsidR="00717B45" w:rsidRPr="009371D6">
        <w:rPr>
          <w:szCs w:val="20"/>
        </w:rPr>
        <w:t xml:space="preserve">distributed </w:t>
      </w:r>
      <w:r w:rsidR="00045370" w:rsidRPr="009371D6">
        <w:rPr>
          <w:szCs w:val="20"/>
        </w:rPr>
        <w:t xml:space="preserve">to a </w:t>
      </w:r>
      <w:r w:rsidR="007F7041" w:rsidRPr="009371D6">
        <w:rPr>
          <w:szCs w:val="20"/>
        </w:rPr>
        <w:t>variety</w:t>
      </w:r>
      <w:r w:rsidR="00045370" w:rsidRPr="009371D6">
        <w:rPr>
          <w:szCs w:val="20"/>
        </w:rPr>
        <w:t xml:space="preserve"> of customers, </w:t>
      </w:r>
      <w:r w:rsidR="007F7041" w:rsidRPr="009371D6">
        <w:rPr>
          <w:szCs w:val="20"/>
        </w:rPr>
        <w:t xml:space="preserve">including </w:t>
      </w:r>
      <w:r w:rsidR="00434AB3" w:rsidRPr="009371D6">
        <w:rPr>
          <w:szCs w:val="20"/>
        </w:rPr>
        <w:t>a chain of Arnhem Land Progress Aboriginal Corporation community stores in the NT</w:t>
      </w:r>
      <w:r w:rsidR="00434AB3" w:rsidRPr="009371D6">
        <w:rPr>
          <w:rStyle w:val="FootnoteReference"/>
          <w:sz w:val="20"/>
          <w:szCs w:val="20"/>
        </w:rPr>
        <w:footnoteReference w:id="61"/>
      </w:r>
      <w:r w:rsidR="00045370" w:rsidRPr="009371D6">
        <w:rPr>
          <w:szCs w:val="20"/>
        </w:rPr>
        <w:t xml:space="preserve"> </w:t>
      </w:r>
      <w:r w:rsidR="007F7041" w:rsidRPr="009371D6">
        <w:rPr>
          <w:szCs w:val="20"/>
        </w:rPr>
        <w:t>and</w:t>
      </w:r>
      <w:r w:rsidR="00045370" w:rsidRPr="009371D6">
        <w:rPr>
          <w:szCs w:val="20"/>
        </w:rPr>
        <w:t xml:space="preserve"> meat wholesalers and retailers</w:t>
      </w:r>
      <w:r w:rsidR="00637CA0" w:rsidRPr="009371D6">
        <w:rPr>
          <w:szCs w:val="20"/>
        </w:rPr>
        <w:t xml:space="preserve"> in Darwin</w:t>
      </w:r>
      <w:r w:rsidR="00045370" w:rsidRPr="009371D6">
        <w:rPr>
          <w:szCs w:val="20"/>
        </w:rPr>
        <w:t xml:space="preserve">. Gunbalanya Station and Meats are </w:t>
      </w:r>
      <w:r w:rsidR="009B216C" w:rsidRPr="009371D6">
        <w:rPr>
          <w:szCs w:val="20"/>
        </w:rPr>
        <w:t>important</w:t>
      </w:r>
      <w:r w:rsidR="00045370" w:rsidRPr="009371D6">
        <w:rPr>
          <w:szCs w:val="20"/>
        </w:rPr>
        <w:t xml:space="preserve"> employ</w:t>
      </w:r>
      <w:r w:rsidR="003A47A7" w:rsidRPr="009371D6">
        <w:rPr>
          <w:szCs w:val="20"/>
        </w:rPr>
        <w:t>ers</w:t>
      </w:r>
      <w:r w:rsidR="00045370" w:rsidRPr="009371D6">
        <w:rPr>
          <w:szCs w:val="20"/>
        </w:rPr>
        <w:t xml:space="preserve"> at Gunbalanya</w:t>
      </w:r>
      <w:r w:rsidR="003A47A7" w:rsidRPr="009371D6">
        <w:rPr>
          <w:szCs w:val="20"/>
        </w:rPr>
        <w:t>,</w:t>
      </w:r>
      <w:r w:rsidR="00045370" w:rsidRPr="009371D6">
        <w:rPr>
          <w:szCs w:val="20"/>
        </w:rPr>
        <w:t xml:space="preserve"> and host </w:t>
      </w:r>
      <w:r w:rsidR="00F802E8" w:rsidRPr="009371D6">
        <w:rPr>
          <w:szCs w:val="20"/>
        </w:rPr>
        <w:t xml:space="preserve">a number of </w:t>
      </w:r>
      <w:r w:rsidR="00045370" w:rsidRPr="009371D6">
        <w:rPr>
          <w:szCs w:val="20"/>
        </w:rPr>
        <w:t>local Aboriginal people</w:t>
      </w:r>
      <w:r w:rsidR="00F802E8" w:rsidRPr="009371D6">
        <w:rPr>
          <w:szCs w:val="20"/>
        </w:rPr>
        <w:t xml:space="preserve"> who</w:t>
      </w:r>
      <w:r w:rsidR="00045370" w:rsidRPr="009371D6">
        <w:rPr>
          <w:szCs w:val="20"/>
        </w:rPr>
        <w:t xml:space="preserve"> train and work in beef production and meat processing</w:t>
      </w:r>
      <w:r w:rsidR="007C2C93" w:rsidRPr="009371D6">
        <w:rPr>
          <w:rStyle w:val="FootnoteReference"/>
          <w:sz w:val="20"/>
          <w:szCs w:val="20"/>
        </w:rPr>
        <w:footnoteReference w:id="62"/>
      </w:r>
      <w:r w:rsidR="00045370" w:rsidRPr="009371D6">
        <w:rPr>
          <w:szCs w:val="20"/>
        </w:rPr>
        <w:t>.</w:t>
      </w:r>
      <w:r w:rsidR="007C2C93" w:rsidRPr="009371D6">
        <w:rPr>
          <w:szCs w:val="20"/>
        </w:rPr>
        <w:t xml:space="preserve"> </w:t>
      </w:r>
    </w:p>
    <w:p w14:paraId="66BBDC92" w14:textId="5009A920" w:rsidR="00E050D1" w:rsidRPr="009371D6" w:rsidRDefault="00E050D1" w:rsidP="00352475">
      <w:pPr>
        <w:rPr>
          <w:szCs w:val="20"/>
        </w:rPr>
      </w:pPr>
    </w:p>
    <w:p w14:paraId="1DAA1388" w14:textId="4AF5559A" w:rsidR="00E050D1" w:rsidRDefault="00E050D1" w:rsidP="00A1272E">
      <w:pPr>
        <w:rPr>
          <w:szCs w:val="20"/>
        </w:rPr>
      </w:pPr>
      <w:r w:rsidRPr="009371D6">
        <w:rPr>
          <w:szCs w:val="20"/>
        </w:rPr>
        <w:t xml:space="preserve">MLA have recently completed a feasibility study, now fast-tracked for </w:t>
      </w:r>
      <w:r w:rsidR="004C59C9" w:rsidRPr="009371D6">
        <w:rPr>
          <w:szCs w:val="20"/>
        </w:rPr>
        <w:t xml:space="preserve">implementation, </w:t>
      </w:r>
      <w:r w:rsidR="00A1272E" w:rsidRPr="009371D6">
        <w:rPr>
          <w:szCs w:val="20"/>
        </w:rPr>
        <w:t>that examined the commercial viability of new Indigenous 'Blackfella Beef' products and services</w:t>
      </w:r>
      <w:r w:rsidR="00835BA1" w:rsidRPr="009371D6">
        <w:rPr>
          <w:szCs w:val="20"/>
        </w:rPr>
        <w:t>,</w:t>
      </w:r>
      <w:r w:rsidR="00A1272E" w:rsidRPr="009371D6">
        <w:rPr>
          <w:szCs w:val="20"/>
        </w:rPr>
        <w:t xml:space="preserve"> led by </w:t>
      </w:r>
      <w:r w:rsidR="00835BA1" w:rsidRPr="009371D6">
        <w:rPr>
          <w:szCs w:val="20"/>
        </w:rPr>
        <w:t>Western Kangoulu and Wangan Jagalingou Indigenous groups</w:t>
      </w:r>
      <w:r w:rsidR="00D338D4" w:rsidRPr="009371D6">
        <w:rPr>
          <w:szCs w:val="20"/>
        </w:rPr>
        <w:t xml:space="preserve"> in Queensland</w:t>
      </w:r>
      <w:r w:rsidR="00A1272E" w:rsidRPr="009371D6">
        <w:rPr>
          <w:szCs w:val="20"/>
        </w:rPr>
        <w:t>. Th</w:t>
      </w:r>
      <w:r w:rsidR="007B39B5" w:rsidRPr="009371D6">
        <w:rPr>
          <w:szCs w:val="20"/>
        </w:rPr>
        <w:t>e study</w:t>
      </w:r>
      <w:r w:rsidR="00A1272E" w:rsidRPr="009371D6">
        <w:rPr>
          <w:szCs w:val="20"/>
        </w:rPr>
        <w:t xml:space="preserve"> </w:t>
      </w:r>
      <w:r w:rsidR="00112DDC" w:rsidRPr="009371D6">
        <w:rPr>
          <w:szCs w:val="20"/>
        </w:rPr>
        <w:t xml:space="preserve">concluded </w:t>
      </w:r>
      <w:r w:rsidR="00A1272E" w:rsidRPr="009371D6">
        <w:rPr>
          <w:szCs w:val="20"/>
        </w:rPr>
        <w:t xml:space="preserve">that processing 2,000 cattle </w:t>
      </w:r>
      <w:r w:rsidR="00112DDC" w:rsidRPr="009371D6">
        <w:rPr>
          <w:szCs w:val="20"/>
        </w:rPr>
        <w:t>annually</w:t>
      </w:r>
      <w:r w:rsidR="00A1272E" w:rsidRPr="009371D6">
        <w:rPr>
          <w:szCs w:val="20"/>
        </w:rPr>
        <w:t xml:space="preserve"> could deliver $4 million in additional sales for </w:t>
      </w:r>
      <w:r w:rsidR="00112DDC" w:rsidRPr="009371D6">
        <w:rPr>
          <w:szCs w:val="20"/>
        </w:rPr>
        <w:t xml:space="preserve">the </w:t>
      </w:r>
      <w:r w:rsidR="00A1272E" w:rsidRPr="009371D6">
        <w:rPr>
          <w:szCs w:val="20"/>
        </w:rPr>
        <w:t xml:space="preserve">brand. </w:t>
      </w:r>
      <w:r w:rsidR="00AD7BA3" w:rsidRPr="009371D6">
        <w:rPr>
          <w:szCs w:val="20"/>
        </w:rPr>
        <w:t xml:space="preserve">This would </w:t>
      </w:r>
      <w:r w:rsidR="00A1272E" w:rsidRPr="009371D6">
        <w:rPr>
          <w:szCs w:val="20"/>
        </w:rPr>
        <w:t>support reinvest</w:t>
      </w:r>
      <w:r w:rsidR="00AD7BA3" w:rsidRPr="009371D6">
        <w:rPr>
          <w:szCs w:val="20"/>
        </w:rPr>
        <w:t>ment</w:t>
      </w:r>
      <w:r w:rsidR="00A1272E" w:rsidRPr="009371D6">
        <w:rPr>
          <w:szCs w:val="20"/>
        </w:rPr>
        <w:t xml:space="preserve"> in community development</w:t>
      </w:r>
      <w:r w:rsidR="009E690D" w:rsidRPr="009371D6">
        <w:rPr>
          <w:szCs w:val="20"/>
        </w:rPr>
        <w:t xml:space="preserve">, and </w:t>
      </w:r>
      <w:r w:rsidR="00A1272E" w:rsidRPr="009371D6">
        <w:rPr>
          <w:szCs w:val="20"/>
        </w:rPr>
        <w:t xml:space="preserve">provide </w:t>
      </w:r>
      <w:r w:rsidR="009E690D" w:rsidRPr="009371D6">
        <w:rPr>
          <w:szCs w:val="20"/>
        </w:rPr>
        <w:t xml:space="preserve">regional </w:t>
      </w:r>
      <w:r w:rsidR="00BC6C85" w:rsidRPr="009371D6">
        <w:rPr>
          <w:szCs w:val="20"/>
        </w:rPr>
        <w:t xml:space="preserve">skills, training and </w:t>
      </w:r>
      <w:r w:rsidR="009E690D" w:rsidRPr="009371D6">
        <w:rPr>
          <w:szCs w:val="20"/>
        </w:rPr>
        <w:t xml:space="preserve">employment </w:t>
      </w:r>
      <w:r w:rsidR="00A1272E" w:rsidRPr="009371D6">
        <w:rPr>
          <w:szCs w:val="20"/>
        </w:rPr>
        <w:t>opportunities</w:t>
      </w:r>
      <w:r w:rsidR="002156BC" w:rsidRPr="009371D6">
        <w:rPr>
          <w:szCs w:val="20"/>
        </w:rPr>
        <w:t xml:space="preserve"> for Indigenous people</w:t>
      </w:r>
      <w:r w:rsidR="00A1272E" w:rsidRPr="009371D6">
        <w:rPr>
          <w:szCs w:val="20"/>
        </w:rPr>
        <w:t xml:space="preserve"> in the meat </w:t>
      </w:r>
      <w:r w:rsidR="009E690D" w:rsidRPr="009371D6">
        <w:rPr>
          <w:szCs w:val="20"/>
        </w:rPr>
        <w:t xml:space="preserve">processing </w:t>
      </w:r>
      <w:r w:rsidR="00A1272E" w:rsidRPr="009371D6">
        <w:rPr>
          <w:szCs w:val="20"/>
        </w:rPr>
        <w:t>industry</w:t>
      </w:r>
      <w:r w:rsidR="002156BC" w:rsidRPr="009371D6">
        <w:rPr>
          <w:szCs w:val="20"/>
        </w:rPr>
        <w:t xml:space="preserve"> and throughout the value chain</w:t>
      </w:r>
      <w:r w:rsidR="00C958EB" w:rsidRPr="009371D6">
        <w:rPr>
          <w:rStyle w:val="FootnoteReference"/>
          <w:sz w:val="20"/>
          <w:szCs w:val="20"/>
        </w:rPr>
        <w:footnoteReference w:id="63"/>
      </w:r>
      <w:r w:rsidR="00A1272E" w:rsidRPr="009371D6">
        <w:rPr>
          <w:szCs w:val="20"/>
        </w:rPr>
        <w:t>.</w:t>
      </w:r>
    </w:p>
    <w:p w14:paraId="40E1C56B" w14:textId="77777777" w:rsidR="00185919" w:rsidRDefault="00185919" w:rsidP="00A1272E">
      <w:pPr>
        <w:rPr>
          <w:szCs w:val="20"/>
        </w:rPr>
      </w:pPr>
    </w:p>
    <w:sectPr w:rsidR="00185919" w:rsidSect="00C016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DC61B" w14:textId="77777777" w:rsidR="00563BE8" w:rsidRDefault="00563BE8" w:rsidP="005F7D52">
      <w:r>
        <w:separator/>
      </w:r>
    </w:p>
    <w:p w14:paraId="1CD5ED5A" w14:textId="77777777" w:rsidR="00563BE8" w:rsidRDefault="00563BE8"/>
  </w:endnote>
  <w:endnote w:type="continuationSeparator" w:id="0">
    <w:p w14:paraId="3E2B28B5" w14:textId="77777777" w:rsidR="00563BE8" w:rsidRDefault="00563BE8" w:rsidP="005F7D52">
      <w:r>
        <w:continuationSeparator/>
      </w:r>
    </w:p>
    <w:p w14:paraId="18C58365" w14:textId="77777777" w:rsidR="00563BE8" w:rsidRDefault="00563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DC58" w14:textId="442E37D7" w:rsidR="009C3EAC" w:rsidRDefault="009C3EAC">
    <w:pPr>
      <w:pStyle w:val="Footer"/>
    </w:pPr>
  </w:p>
  <w:p w14:paraId="2BF6D0F1" w14:textId="77777777" w:rsidR="009C3EAC" w:rsidRDefault="009C3E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525446"/>
      <w:docPartObj>
        <w:docPartGallery w:val="Page Numbers (Bottom of Page)"/>
        <w:docPartUnique/>
      </w:docPartObj>
    </w:sdtPr>
    <w:sdtEndPr>
      <w:rPr>
        <w:noProof/>
      </w:rPr>
    </w:sdtEndPr>
    <w:sdtContent>
      <w:p w14:paraId="4E5AA387" w14:textId="4FC10B89" w:rsidR="009C3EAC" w:rsidRDefault="009C3E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D5AA3C" w14:textId="77777777" w:rsidR="009C3EAC" w:rsidRDefault="009C3EAC">
    <w:pPr>
      <w:pStyle w:val="Footer"/>
    </w:pPr>
  </w:p>
  <w:p w14:paraId="3EB39236" w14:textId="77777777" w:rsidR="009C3EAC" w:rsidRDefault="009C3E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F0590" w14:textId="77777777" w:rsidR="00563BE8" w:rsidRDefault="00563BE8" w:rsidP="005F7D52">
      <w:r>
        <w:separator/>
      </w:r>
    </w:p>
    <w:p w14:paraId="05756332" w14:textId="77777777" w:rsidR="00563BE8" w:rsidRDefault="00563BE8"/>
  </w:footnote>
  <w:footnote w:type="continuationSeparator" w:id="0">
    <w:p w14:paraId="41E8E2E7" w14:textId="77777777" w:rsidR="00563BE8" w:rsidRDefault="00563BE8" w:rsidP="005F7D52">
      <w:r>
        <w:continuationSeparator/>
      </w:r>
    </w:p>
    <w:p w14:paraId="1E55A0E5" w14:textId="77777777" w:rsidR="00563BE8" w:rsidRDefault="00563BE8"/>
  </w:footnote>
  <w:footnote w:id="1">
    <w:p w14:paraId="6B9AD66F" w14:textId="4F7F015D" w:rsidR="009C3EAC" w:rsidRDefault="009C3EAC" w:rsidP="00FF6F0A">
      <w:pPr>
        <w:pStyle w:val="FootnoteNiall"/>
      </w:pPr>
      <w:r>
        <w:rPr>
          <w:rStyle w:val="FootnoteReference"/>
        </w:rPr>
        <w:footnoteRef/>
      </w:r>
      <w:r>
        <w:t xml:space="preserve"> </w:t>
      </w:r>
      <w:r w:rsidRPr="00FF6F0A">
        <w:t xml:space="preserve">IBISWorld (2022); </w:t>
      </w:r>
      <w:r w:rsidRPr="00F24506">
        <w:rPr>
          <w:i/>
          <w:iCs/>
        </w:rPr>
        <w:t>Meat Processing in Australia</w:t>
      </w:r>
    </w:p>
  </w:footnote>
  <w:footnote w:id="2">
    <w:p w14:paraId="4D3FE2E7" w14:textId="7D707BEB" w:rsidR="00A85695" w:rsidRDefault="00A85695" w:rsidP="00A85695">
      <w:pPr>
        <w:pStyle w:val="FootnoteNiall"/>
      </w:pPr>
      <w:r>
        <w:rPr>
          <w:rStyle w:val="FootnoteReference"/>
        </w:rPr>
        <w:footnoteRef/>
      </w:r>
      <w:r>
        <w:t xml:space="preserve"> </w:t>
      </w:r>
      <w:r w:rsidR="004B2693">
        <w:t xml:space="preserve">MLA (2021); </w:t>
      </w:r>
      <w:r w:rsidR="004B2693" w:rsidRPr="004B2693">
        <w:rPr>
          <w:i/>
          <w:iCs/>
        </w:rPr>
        <w:t>Meat Standards Australia</w:t>
      </w:r>
      <w:r w:rsidR="004B2693">
        <w:t xml:space="preserve">; </w:t>
      </w:r>
      <w:r w:rsidR="003D0D37" w:rsidRPr="003D0D37">
        <w:t>https://www.mla.com.au/marketing-beef-and-lamb/meat-standards-australia/</w:t>
      </w:r>
      <w:r w:rsidR="003D0D37">
        <w:t>; viewed 31/08/2022.</w:t>
      </w:r>
    </w:p>
  </w:footnote>
  <w:footnote w:id="3">
    <w:p w14:paraId="6950FB14" w14:textId="6FFEF8EF" w:rsidR="009C3EAC" w:rsidRDefault="009C3EAC" w:rsidP="003D0D37">
      <w:pPr>
        <w:pStyle w:val="FootnoteNiall"/>
      </w:pPr>
      <w:r>
        <w:rPr>
          <w:rStyle w:val="FootnoteReference"/>
        </w:rPr>
        <w:footnoteRef/>
      </w:r>
      <w:r>
        <w:t xml:space="preserve"> </w:t>
      </w:r>
      <w:r w:rsidR="003D0D37">
        <w:t xml:space="preserve">AgriFutures Australia (2019); </w:t>
      </w:r>
      <w:r w:rsidR="003D0D37" w:rsidRPr="003D0D37">
        <w:rPr>
          <w:i/>
          <w:iCs/>
        </w:rPr>
        <w:t>Chicken Meat Program</w:t>
      </w:r>
      <w:r w:rsidR="003D0D37">
        <w:t xml:space="preserve"> </w:t>
      </w:r>
      <w:r w:rsidR="003D0D37" w:rsidRPr="003D0D37">
        <w:rPr>
          <w:i/>
          <w:iCs/>
        </w:rPr>
        <w:t>RD&amp;E Plan 2019-22</w:t>
      </w:r>
      <w:r w:rsidRPr="00C034F7">
        <w:t>; p.19</w:t>
      </w:r>
    </w:p>
  </w:footnote>
  <w:footnote w:id="4">
    <w:p w14:paraId="525EDF4E" w14:textId="4CFE26E0" w:rsidR="009C3EAC" w:rsidRDefault="009C3EAC" w:rsidP="00A0696C">
      <w:pPr>
        <w:pStyle w:val="FootnoteNiall"/>
      </w:pPr>
      <w:r>
        <w:rPr>
          <w:rStyle w:val="FootnoteReference"/>
        </w:rPr>
        <w:footnoteRef/>
      </w:r>
      <w:r>
        <w:t xml:space="preserve"> </w:t>
      </w:r>
      <w:r w:rsidR="003D0D37">
        <w:t xml:space="preserve">Grain Central (2022); </w:t>
      </w:r>
      <w:r w:rsidR="003D0D37" w:rsidRPr="003D0D37">
        <w:t>Meat businesses invest in plant protein</w:t>
      </w:r>
      <w:r w:rsidR="003D0D37">
        <w:t xml:space="preserve">; </w:t>
      </w:r>
      <w:r w:rsidR="003D0D37" w:rsidRPr="003D0D37">
        <w:t>https://www.graincentral.com/news/meat-industry-investing-in-plant-protein/</w:t>
      </w:r>
      <w:r w:rsidR="003D0D37">
        <w:t>; viewed 08/03/2022.</w:t>
      </w:r>
    </w:p>
  </w:footnote>
  <w:footnote w:id="5">
    <w:p w14:paraId="13283840" w14:textId="77777777" w:rsidR="009C3EAC" w:rsidRDefault="009C3EAC" w:rsidP="00C327D1">
      <w:pPr>
        <w:pStyle w:val="FootnoteNiall"/>
      </w:pPr>
      <w:r>
        <w:rPr>
          <w:rStyle w:val="FootnoteReference"/>
        </w:rPr>
        <w:footnoteRef/>
      </w:r>
      <w:r>
        <w:t xml:space="preserve"> CSIRO Futures (2022); </w:t>
      </w:r>
      <w:r w:rsidRPr="0002296C">
        <w:rPr>
          <w:i/>
          <w:iCs/>
        </w:rPr>
        <w:t>Protein - A Roadmap for unlocking technology-led growth opportunities for Australia</w:t>
      </w:r>
      <w:r>
        <w:t>; CSIRO, Canberra; p.22.</w:t>
      </w:r>
    </w:p>
  </w:footnote>
  <w:footnote w:id="6">
    <w:p w14:paraId="08779F57" w14:textId="4EF57BC7" w:rsidR="009C3EAC" w:rsidRDefault="009C3EAC" w:rsidP="007812AB">
      <w:pPr>
        <w:pStyle w:val="FootnoteNiall"/>
      </w:pPr>
      <w:r>
        <w:rPr>
          <w:rStyle w:val="FootnoteReference"/>
        </w:rPr>
        <w:footnoteRef/>
      </w:r>
      <w:r>
        <w:t xml:space="preserve"> </w:t>
      </w:r>
      <w:r w:rsidR="003D0D37">
        <w:t xml:space="preserve">MLA (2021); </w:t>
      </w:r>
      <w:r w:rsidR="003D0D37" w:rsidRPr="003D0D37">
        <w:rPr>
          <w:i/>
          <w:iCs/>
        </w:rPr>
        <w:t>Meat safety and traceability</w:t>
      </w:r>
      <w:r w:rsidR="003D0D37">
        <w:t xml:space="preserve">; </w:t>
      </w:r>
      <w:r w:rsidRPr="00860ED3">
        <w:t>https://www.mla.com.au/meat-safety-and-traceability/</w:t>
      </w:r>
      <w:r w:rsidR="003D0D37">
        <w:t>; viewed 31/08/2022.</w:t>
      </w:r>
    </w:p>
  </w:footnote>
  <w:footnote w:id="7">
    <w:p w14:paraId="41CBB3AB" w14:textId="4726EFD1" w:rsidR="009C3EAC" w:rsidRDefault="009C3EAC" w:rsidP="00AA73CA">
      <w:pPr>
        <w:pStyle w:val="FootnoteNiall"/>
      </w:pPr>
      <w:r>
        <w:rPr>
          <w:rStyle w:val="FootnoteReference"/>
        </w:rPr>
        <w:footnoteRef/>
      </w:r>
      <w:r>
        <w:t xml:space="preserve"> CSIRO Futures (2022); </w:t>
      </w:r>
      <w:r w:rsidRPr="0002296C">
        <w:rPr>
          <w:i/>
          <w:iCs/>
        </w:rPr>
        <w:t>Protein - A Roadmap for unlocking technology-led growth opportunities for Australia</w:t>
      </w:r>
      <w:r>
        <w:t>; CSIRO, Canberra; p.23.</w:t>
      </w:r>
    </w:p>
  </w:footnote>
  <w:footnote w:id="8">
    <w:p w14:paraId="0EF2BF19" w14:textId="3092D6F2" w:rsidR="009C3EAC" w:rsidRPr="00BE350A" w:rsidRDefault="009C3EAC" w:rsidP="00200957">
      <w:pPr>
        <w:pStyle w:val="FootnoteNiall"/>
      </w:pPr>
      <w:r>
        <w:rPr>
          <w:rStyle w:val="FootnoteReference"/>
        </w:rPr>
        <w:footnoteRef/>
      </w:r>
      <w:r>
        <w:t xml:space="preserve"> R. </w:t>
      </w:r>
      <w:r w:rsidRPr="00200957">
        <w:t>McLeod (2017)</w:t>
      </w:r>
      <w:r>
        <w:t>;</w:t>
      </w:r>
      <w:r w:rsidRPr="00200957">
        <w:t xml:space="preserve"> </w:t>
      </w:r>
      <w:r w:rsidRPr="00200957">
        <w:rPr>
          <w:i/>
          <w:iCs/>
        </w:rPr>
        <w:t>Counting the Cost: Lost Australia food and wine export sales due to fraud</w:t>
      </w:r>
      <w:r>
        <w:t xml:space="preserve">; </w:t>
      </w:r>
      <w:r w:rsidRPr="00BE350A">
        <w:t>Food Innovation Australia Ltd.</w:t>
      </w:r>
    </w:p>
  </w:footnote>
  <w:footnote w:id="9">
    <w:p w14:paraId="33A3B94C" w14:textId="36808B39" w:rsidR="009C3EAC" w:rsidRDefault="009C3EAC" w:rsidP="00E502C3">
      <w:pPr>
        <w:pStyle w:val="FootnoteNiall"/>
      </w:pPr>
      <w:r>
        <w:rPr>
          <w:rStyle w:val="FootnoteReference"/>
        </w:rPr>
        <w:footnoteRef/>
      </w:r>
      <w:r>
        <w:t xml:space="preserve"> </w:t>
      </w:r>
      <w:r w:rsidR="003D0D37">
        <w:t>ABC News (2021);</w:t>
      </w:r>
      <w:r w:rsidR="003D0D37" w:rsidRPr="003D0D37">
        <w:t xml:space="preserve"> </w:t>
      </w:r>
      <w:r w:rsidR="003D0D37" w:rsidRPr="003D0D37">
        <w:rPr>
          <w:i/>
          <w:iCs/>
        </w:rPr>
        <w:t>Contaminated pet food investigation traces toxic horse meat back to NT property</w:t>
      </w:r>
      <w:r w:rsidR="003D0D37">
        <w:t xml:space="preserve">; </w:t>
      </w:r>
      <w:r w:rsidRPr="00E502C3">
        <w:t>https://www.abc.net.au/news/rural/2021-08-10/contaminated-pet-food-linked-to-horses-from-nt-property/100364254</w:t>
      </w:r>
      <w:r w:rsidR="003D0D37">
        <w:t>; viewed 31/08/2022.</w:t>
      </w:r>
    </w:p>
  </w:footnote>
  <w:footnote w:id="10">
    <w:p w14:paraId="6F24F768" w14:textId="78C2CE3C" w:rsidR="009C3EAC" w:rsidRDefault="009C3EAC" w:rsidP="0041049E">
      <w:pPr>
        <w:pStyle w:val="FootnoteNiall"/>
      </w:pPr>
      <w:r>
        <w:rPr>
          <w:rStyle w:val="FootnoteReference"/>
        </w:rPr>
        <w:footnoteRef/>
      </w:r>
      <w:r>
        <w:t xml:space="preserve"> </w:t>
      </w:r>
      <w:r w:rsidR="003D0D37">
        <w:t xml:space="preserve">Australian Pork Ltd. (2022); </w:t>
      </w:r>
      <w:r w:rsidR="003D0D37" w:rsidRPr="003D0D37">
        <w:rPr>
          <w:i/>
          <w:iCs/>
        </w:rPr>
        <w:t>Biosecurity management plan and resources</w:t>
      </w:r>
      <w:r w:rsidR="003D0D37">
        <w:t>;</w:t>
      </w:r>
      <w:r w:rsidR="003D0D37" w:rsidRPr="003D0D37">
        <w:t xml:space="preserve"> </w:t>
      </w:r>
      <w:r w:rsidRPr="00095C45">
        <w:t>https://www.australianpork.com.au/biosecurity/biosecurity-management-plan-and-resources</w:t>
      </w:r>
      <w:r w:rsidR="003D0D37">
        <w:t>; viewed 31/08/2022.</w:t>
      </w:r>
    </w:p>
  </w:footnote>
  <w:footnote w:id="11">
    <w:p w14:paraId="778B1FE8" w14:textId="51C0E23F" w:rsidR="009C3EAC" w:rsidRDefault="009C3EAC" w:rsidP="00E145F4">
      <w:pPr>
        <w:pStyle w:val="FootnoteNiall"/>
      </w:pPr>
      <w:r>
        <w:rPr>
          <w:rStyle w:val="FootnoteReference"/>
        </w:rPr>
        <w:footnoteRef/>
      </w:r>
      <w:r>
        <w:t xml:space="preserve"> </w:t>
      </w:r>
      <w:r w:rsidR="003D0D37">
        <w:t>ABARES (2022);</w:t>
      </w:r>
      <w:r w:rsidR="001515AA" w:rsidRPr="001515AA">
        <w:t xml:space="preserve"> </w:t>
      </w:r>
      <w:r w:rsidR="001515AA" w:rsidRPr="001515AA">
        <w:rPr>
          <w:i/>
          <w:iCs/>
        </w:rPr>
        <w:t>Outlook for livestock: June quarter 2022</w:t>
      </w:r>
      <w:r w:rsidR="001515AA">
        <w:t>;</w:t>
      </w:r>
      <w:r w:rsidR="003D0D37">
        <w:t xml:space="preserve"> </w:t>
      </w:r>
      <w:r w:rsidR="001515AA" w:rsidRPr="001515AA">
        <w:t>https://www.awe.gov.au/abares/research-topics/agricultural-outlook/livestock#opportunities-and-challenges</w:t>
      </w:r>
      <w:r w:rsidR="001515AA">
        <w:t>; viewed 31/08/2022.</w:t>
      </w:r>
    </w:p>
  </w:footnote>
  <w:footnote w:id="12">
    <w:p w14:paraId="1490F68B" w14:textId="4C0EDFB0" w:rsidR="009C3EAC" w:rsidRDefault="009C3EAC" w:rsidP="001B36D7">
      <w:pPr>
        <w:pStyle w:val="FootnoteNiall"/>
      </w:pPr>
      <w:r>
        <w:rPr>
          <w:rStyle w:val="FootnoteReference"/>
        </w:rPr>
        <w:footnoteRef/>
      </w:r>
      <w:r>
        <w:t xml:space="preserve"> </w:t>
      </w:r>
      <w:r w:rsidR="001515AA">
        <w:t xml:space="preserve">Beef Central (2022); </w:t>
      </w:r>
      <w:r w:rsidR="001515AA" w:rsidRPr="001515AA">
        <w:rPr>
          <w:i/>
          <w:iCs/>
        </w:rPr>
        <w:t>What would a national livestock standstill entail?</w:t>
      </w:r>
      <w:r w:rsidR="001515AA">
        <w:t xml:space="preserve">; </w:t>
      </w:r>
      <w:r w:rsidRPr="001B36D7">
        <w:t>https://www.beefcentral.com/news/what-would-a-national-livestock-standstill-entail/</w:t>
      </w:r>
      <w:r w:rsidR="001515AA">
        <w:t>; viewed 14/06/2022.</w:t>
      </w:r>
    </w:p>
  </w:footnote>
  <w:footnote w:id="13">
    <w:p w14:paraId="014A12CF" w14:textId="322AFEDD" w:rsidR="009C3EAC" w:rsidRDefault="009C3EAC" w:rsidP="003278AA">
      <w:pPr>
        <w:pStyle w:val="FootnoteNiall"/>
      </w:pPr>
      <w:r>
        <w:rPr>
          <w:rStyle w:val="FootnoteReference"/>
        </w:rPr>
        <w:footnoteRef/>
      </w:r>
      <w:r>
        <w:t xml:space="preserve"> </w:t>
      </w:r>
      <w:r w:rsidR="001515AA">
        <w:t xml:space="preserve">AMPC (2022); </w:t>
      </w:r>
      <w:r w:rsidR="001515AA" w:rsidRPr="001515AA">
        <w:rPr>
          <w:i/>
          <w:iCs/>
        </w:rPr>
        <w:t>Red meat industry response to lumpy skin disease</w:t>
      </w:r>
      <w:r w:rsidR="001515AA">
        <w:t>;</w:t>
      </w:r>
      <w:r w:rsidR="001515AA" w:rsidRPr="001515AA">
        <w:t xml:space="preserve"> </w:t>
      </w:r>
      <w:r w:rsidRPr="003278AA">
        <w:t>https://ampc.com.au/news-events/news/red-meat-industry-response-to-lumpy-skin-disease</w:t>
      </w:r>
      <w:r w:rsidR="001515AA">
        <w:t>; viewed 30/05/2022.</w:t>
      </w:r>
    </w:p>
  </w:footnote>
  <w:footnote w:id="14">
    <w:p w14:paraId="62C8C826" w14:textId="5CAB9940" w:rsidR="009C3EAC" w:rsidRDefault="009C3EAC" w:rsidP="00D95778">
      <w:pPr>
        <w:pStyle w:val="FootnoteNiall"/>
      </w:pPr>
      <w:r>
        <w:rPr>
          <w:rStyle w:val="FootnoteReference"/>
        </w:rPr>
        <w:footnoteRef/>
      </w:r>
      <w:r>
        <w:t xml:space="preserve"> </w:t>
      </w:r>
      <w:r w:rsidR="001515AA">
        <w:t xml:space="preserve">RMAC (2022); </w:t>
      </w:r>
      <w:r w:rsidR="001515AA" w:rsidRPr="001515AA">
        <w:rPr>
          <w:i/>
          <w:iCs/>
        </w:rPr>
        <w:t>Australian Beef Sustainability Framework: Annual Update 2022</w:t>
      </w:r>
    </w:p>
  </w:footnote>
  <w:footnote w:id="15">
    <w:p w14:paraId="527CA46D" w14:textId="509D65A5" w:rsidR="009C3EAC" w:rsidRDefault="009C3EAC" w:rsidP="00FB2D38">
      <w:pPr>
        <w:pStyle w:val="FootnoteNiall"/>
      </w:pPr>
      <w:r>
        <w:rPr>
          <w:rStyle w:val="FootnoteReference"/>
        </w:rPr>
        <w:footnoteRef/>
      </w:r>
      <w:r>
        <w:t xml:space="preserve"> </w:t>
      </w:r>
      <w:r w:rsidR="001515AA" w:rsidRPr="001515AA">
        <w:t>AgriFutures Australia</w:t>
      </w:r>
      <w:r w:rsidR="001515AA">
        <w:t xml:space="preserve"> (2021); </w:t>
      </w:r>
      <w:r w:rsidR="001515AA" w:rsidRPr="001515AA">
        <w:rPr>
          <w:i/>
          <w:iCs/>
        </w:rPr>
        <w:t>Effective stunning and slaughter for poultry training workshops</w:t>
      </w:r>
      <w:r w:rsidR="001515AA">
        <w:t xml:space="preserve">; </w:t>
      </w:r>
      <w:r w:rsidRPr="00252354">
        <w:t>https://agrifutures.com.au/related-projects/effective-stunning-and-slaughter-for-poultry-training-workshops/</w:t>
      </w:r>
      <w:r w:rsidR="001515AA">
        <w:t>; viewed 31/08/2022.</w:t>
      </w:r>
    </w:p>
  </w:footnote>
  <w:footnote w:id="16">
    <w:p w14:paraId="03149065" w14:textId="1AE660A3" w:rsidR="009C3EAC" w:rsidRDefault="009C3EAC" w:rsidP="001515AA">
      <w:pPr>
        <w:pStyle w:val="FootnoteNiall"/>
      </w:pPr>
      <w:r>
        <w:rPr>
          <w:rStyle w:val="FootnoteReference"/>
        </w:rPr>
        <w:footnoteRef/>
      </w:r>
      <w:r>
        <w:t xml:space="preserve"> </w:t>
      </w:r>
      <w:r w:rsidR="001515AA">
        <w:t xml:space="preserve">MLA (2022); </w:t>
      </w:r>
      <w:r w:rsidR="001515AA" w:rsidRPr="001515AA">
        <w:rPr>
          <w:i/>
          <w:iCs/>
        </w:rPr>
        <w:t>Carbon footprint and reduction options for Harvest Road Group operations</w:t>
      </w:r>
    </w:p>
  </w:footnote>
  <w:footnote w:id="17">
    <w:p w14:paraId="5004790B" w14:textId="51944F43" w:rsidR="009C3EAC" w:rsidRDefault="009C3EAC" w:rsidP="00E132D6">
      <w:pPr>
        <w:pStyle w:val="FootnoteNiall"/>
      </w:pPr>
      <w:r>
        <w:rPr>
          <w:rStyle w:val="FootnoteReference"/>
        </w:rPr>
        <w:footnoteRef/>
      </w:r>
      <w:r>
        <w:t xml:space="preserve"> </w:t>
      </w:r>
      <w:r w:rsidR="001515AA">
        <w:t xml:space="preserve">Beef Central (2022); </w:t>
      </w:r>
      <w:r w:rsidR="00B53592" w:rsidRPr="00B53592">
        <w:rPr>
          <w:i/>
          <w:iCs/>
        </w:rPr>
        <w:t>Carbon neutral beef brands continue to emerge, but premiums remain elusive</w:t>
      </w:r>
      <w:r w:rsidR="00B53592">
        <w:t xml:space="preserve">; </w:t>
      </w:r>
      <w:r w:rsidR="00B53592" w:rsidRPr="00B53592">
        <w:t>https://www.beefcentral.com/trade/carbon-neutral-beef-brands-continue-to-emerge-but-premiums-remain-elusive/</w:t>
      </w:r>
      <w:r w:rsidR="00B53592">
        <w:t>; viewed 09/06/2022.</w:t>
      </w:r>
    </w:p>
  </w:footnote>
  <w:footnote w:id="18">
    <w:p w14:paraId="70CCE1F3" w14:textId="30FB9AC0" w:rsidR="009C3EAC" w:rsidRDefault="009C3EAC" w:rsidP="00E57BBF">
      <w:pPr>
        <w:pStyle w:val="FootnoteNiall"/>
      </w:pPr>
      <w:r>
        <w:rPr>
          <w:rStyle w:val="FootnoteReference"/>
        </w:rPr>
        <w:footnoteRef/>
      </w:r>
      <w:r>
        <w:t xml:space="preserve"> </w:t>
      </w:r>
      <w:r w:rsidR="00B53592">
        <w:t xml:space="preserve">AgriFutures Australia (2019); </w:t>
      </w:r>
      <w:r w:rsidR="00B53592" w:rsidRPr="003D0D37">
        <w:rPr>
          <w:i/>
          <w:iCs/>
        </w:rPr>
        <w:t>Chicken Meat Program</w:t>
      </w:r>
      <w:r w:rsidR="00B53592">
        <w:t xml:space="preserve"> </w:t>
      </w:r>
      <w:r w:rsidR="00B53592" w:rsidRPr="003D0D37">
        <w:rPr>
          <w:i/>
          <w:iCs/>
        </w:rPr>
        <w:t>RD&amp;E Plan 2019-22</w:t>
      </w:r>
      <w:r w:rsidR="00B53592" w:rsidRPr="00C034F7">
        <w:t>; p.1</w:t>
      </w:r>
      <w:r w:rsidR="00B53592">
        <w:t>8</w:t>
      </w:r>
    </w:p>
  </w:footnote>
  <w:footnote w:id="19">
    <w:p w14:paraId="158AE590" w14:textId="27C6EFE6" w:rsidR="009C3EAC" w:rsidRDefault="009C3EAC" w:rsidP="005E232C">
      <w:pPr>
        <w:pStyle w:val="FootnoteNiall"/>
      </w:pPr>
      <w:r>
        <w:rPr>
          <w:rStyle w:val="FootnoteReference"/>
        </w:rPr>
        <w:footnoteRef/>
      </w:r>
      <w:r>
        <w:t xml:space="preserve"> </w:t>
      </w:r>
      <w:r w:rsidR="00B53592">
        <w:t xml:space="preserve">MLA (2021); </w:t>
      </w:r>
      <w:r w:rsidR="00B53592" w:rsidRPr="00B53592">
        <w:rPr>
          <w:i/>
          <w:iCs/>
        </w:rPr>
        <w:t>Industry projections 2021</w:t>
      </w:r>
      <w:r w:rsidR="00B53592">
        <w:t>;</w:t>
      </w:r>
      <w:r w:rsidR="00B53592" w:rsidRPr="00B53592">
        <w:t xml:space="preserve"> </w:t>
      </w:r>
      <w:r w:rsidRPr="00AC1AD1">
        <w:t>https://www.mla.com.au/globalassets/mla-corporate/about-mla/documents/mla_october-update-australian-sheep-industry-projections-071021.pdf</w:t>
      </w:r>
    </w:p>
  </w:footnote>
  <w:footnote w:id="20">
    <w:p w14:paraId="0C9580CF" w14:textId="3FF3D045" w:rsidR="009C3EAC" w:rsidRDefault="009C3EAC" w:rsidP="005E232C">
      <w:pPr>
        <w:pStyle w:val="FootnoteNiall"/>
      </w:pPr>
      <w:r>
        <w:rPr>
          <w:rStyle w:val="FootnoteReference"/>
        </w:rPr>
        <w:footnoteRef/>
      </w:r>
      <w:r>
        <w:t xml:space="preserve"> </w:t>
      </w:r>
      <w:r w:rsidR="00B53592">
        <w:t>MLA (2022);</w:t>
      </w:r>
      <w:r w:rsidR="00B53592" w:rsidRPr="00B53592">
        <w:t xml:space="preserve"> </w:t>
      </w:r>
      <w:r w:rsidR="00B53592" w:rsidRPr="00B53592">
        <w:rPr>
          <w:i/>
          <w:iCs/>
        </w:rPr>
        <w:t>Sheep projections</w:t>
      </w:r>
      <w:r w:rsidR="00B53592">
        <w:t xml:space="preserve">; </w:t>
      </w:r>
      <w:r w:rsidR="00B53592" w:rsidRPr="00B53592">
        <w:t>https://www.mla.com.au/prices-markets/Trends-analysis/sheep-projections/</w:t>
      </w:r>
      <w:r w:rsidR="00B53592">
        <w:t>; viewed 13/08/2022.</w:t>
      </w:r>
    </w:p>
  </w:footnote>
  <w:footnote w:id="21">
    <w:p w14:paraId="566F2D02" w14:textId="5EEF62D3" w:rsidR="009C3EAC" w:rsidRPr="00B53592" w:rsidRDefault="009C3EAC" w:rsidP="00B53592">
      <w:pPr>
        <w:pStyle w:val="FootnoteNiall"/>
        <w:rPr>
          <w:i/>
          <w:iCs/>
        </w:rPr>
      </w:pPr>
      <w:r>
        <w:rPr>
          <w:rStyle w:val="FootnoteReference"/>
        </w:rPr>
        <w:footnoteRef/>
      </w:r>
      <w:r>
        <w:t xml:space="preserve"> </w:t>
      </w:r>
      <w:r w:rsidR="00B53592" w:rsidRPr="00B53592">
        <w:t>P</w:t>
      </w:r>
      <w:r w:rsidR="00B53592">
        <w:t>.</w:t>
      </w:r>
      <w:r w:rsidR="00B53592" w:rsidRPr="00B53592">
        <w:t xml:space="preserve"> Brodribb, M</w:t>
      </w:r>
      <w:r w:rsidR="00B53592">
        <w:t>.</w:t>
      </w:r>
      <w:r w:rsidR="00B53592" w:rsidRPr="00B53592">
        <w:t xml:space="preserve"> McCann </w:t>
      </w:r>
      <w:r w:rsidR="00B53592">
        <w:t xml:space="preserve">&amp; J. </w:t>
      </w:r>
      <w:r w:rsidR="00B53592" w:rsidRPr="00B53592">
        <w:t xml:space="preserve">Motavallian </w:t>
      </w:r>
      <w:r w:rsidR="00B53592">
        <w:t>(</w:t>
      </w:r>
      <w:r w:rsidR="00B53592" w:rsidRPr="00B53592">
        <w:t>2020</w:t>
      </w:r>
      <w:r w:rsidR="00B53592">
        <w:t xml:space="preserve">); </w:t>
      </w:r>
      <w:r w:rsidR="00B53592" w:rsidRPr="00B53592">
        <w:rPr>
          <w:i/>
          <w:iCs/>
        </w:rPr>
        <w:t>A study of waste in the cold food chain and</w:t>
      </w:r>
      <w:r w:rsidR="00B53592">
        <w:rPr>
          <w:i/>
          <w:iCs/>
        </w:rPr>
        <w:t xml:space="preserve"> </w:t>
      </w:r>
      <w:r w:rsidR="00B53592" w:rsidRPr="00B53592">
        <w:rPr>
          <w:i/>
          <w:iCs/>
        </w:rPr>
        <w:t>opportunities for improvement</w:t>
      </w:r>
      <w:r w:rsidR="00B53592">
        <w:t xml:space="preserve">; </w:t>
      </w:r>
      <w:r w:rsidR="00B53592" w:rsidRPr="00B53592">
        <w:t>Department of Agriculture, Water and the Environment and Refrigerants Australia</w:t>
      </w:r>
      <w:r w:rsidR="00B53592">
        <w:t>.</w:t>
      </w:r>
    </w:p>
  </w:footnote>
  <w:footnote w:id="22">
    <w:p w14:paraId="60126FEF" w14:textId="597ABCC8" w:rsidR="009C3EAC" w:rsidRDefault="009C3EAC" w:rsidP="0003529C">
      <w:pPr>
        <w:pStyle w:val="FootnoteNiall"/>
      </w:pPr>
      <w:r>
        <w:rPr>
          <w:rStyle w:val="FootnoteReference"/>
        </w:rPr>
        <w:footnoteRef/>
      </w:r>
      <w:r>
        <w:t xml:space="preserve"> </w:t>
      </w:r>
      <w:r w:rsidR="00B53592">
        <w:t xml:space="preserve">RMAC (202); </w:t>
      </w:r>
      <w:r w:rsidR="00B53592" w:rsidRPr="003E043A">
        <w:rPr>
          <w:i/>
          <w:iCs/>
        </w:rPr>
        <w:t>Red Meat 2030</w:t>
      </w:r>
    </w:p>
  </w:footnote>
  <w:footnote w:id="23">
    <w:p w14:paraId="534EABCD" w14:textId="58079C67" w:rsidR="009C3EAC" w:rsidRDefault="009C3EAC" w:rsidP="00993B48">
      <w:pPr>
        <w:pStyle w:val="FootnoteNiall"/>
      </w:pPr>
      <w:r>
        <w:rPr>
          <w:rStyle w:val="FootnoteReference"/>
        </w:rPr>
        <w:footnoteRef/>
      </w:r>
      <w:r>
        <w:t xml:space="preserve"> </w:t>
      </w:r>
      <w:r w:rsidR="003E043A">
        <w:t xml:space="preserve">AMPC (2021); </w:t>
      </w:r>
      <w:r w:rsidR="003E043A" w:rsidRPr="003E043A">
        <w:rPr>
          <w:i/>
          <w:iCs/>
        </w:rPr>
        <w:t>A circular economy approach to increasing value in agri-food industries approaching net zero carbon</w:t>
      </w:r>
      <w:r w:rsidR="003E043A">
        <w:t xml:space="preserve">; </w:t>
      </w:r>
      <w:r w:rsidR="003E043A" w:rsidRPr="003E043A">
        <w:t>https://www.ampc.com.au/research-development/sustainability/a-circular-economy-approach-to-increasing-value-in-agri-food-industries-approaching-net-zero-carbon</w:t>
      </w:r>
      <w:r w:rsidR="003E043A">
        <w:t>; viewed 31/08/2022.</w:t>
      </w:r>
    </w:p>
  </w:footnote>
  <w:footnote w:id="24">
    <w:p w14:paraId="767DF004" w14:textId="518A57D2" w:rsidR="009C3EAC" w:rsidRDefault="009C3EAC" w:rsidP="00BD2DD0">
      <w:pPr>
        <w:pStyle w:val="FootnoteNiall"/>
      </w:pPr>
      <w:r>
        <w:rPr>
          <w:rStyle w:val="FootnoteReference"/>
        </w:rPr>
        <w:footnoteRef/>
      </w:r>
      <w:r>
        <w:t xml:space="preserve"> </w:t>
      </w:r>
      <w:r w:rsidR="003E043A" w:rsidRPr="003E043A">
        <w:t>ADAdvisor</w:t>
      </w:r>
      <w:r w:rsidR="003E043A">
        <w:t xml:space="preserve"> (2022); </w:t>
      </w:r>
      <w:r w:rsidR="003E043A" w:rsidRPr="003E043A">
        <w:rPr>
          <w:i/>
          <w:iCs/>
        </w:rPr>
        <w:t>Anaerobic Digestion Advisor</w:t>
      </w:r>
      <w:r w:rsidR="003E043A">
        <w:t xml:space="preserve">; </w:t>
      </w:r>
      <w:r w:rsidRPr="00BD2DD0">
        <w:t>https://adadvisor.info/</w:t>
      </w:r>
      <w:r w:rsidR="003E043A">
        <w:t>; viewed 31/08/2022.</w:t>
      </w:r>
    </w:p>
  </w:footnote>
  <w:footnote w:id="25">
    <w:p w14:paraId="0CF88F13" w14:textId="7773565D" w:rsidR="009C3EAC" w:rsidRDefault="009C3EAC" w:rsidP="00C24FB3">
      <w:pPr>
        <w:pStyle w:val="FootnoteNiall"/>
      </w:pPr>
      <w:r>
        <w:rPr>
          <w:rStyle w:val="FootnoteReference"/>
        </w:rPr>
        <w:footnoteRef/>
      </w:r>
      <w:r>
        <w:t xml:space="preserve"> </w:t>
      </w:r>
      <w:r w:rsidR="003E043A">
        <w:t xml:space="preserve">RMAC (2022); </w:t>
      </w:r>
      <w:r w:rsidR="003E043A" w:rsidRPr="001515AA">
        <w:rPr>
          <w:i/>
          <w:iCs/>
        </w:rPr>
        <w:t>Australian Beef Sustainability Framework: Annual Update 2022</w:t>
      </w:r>
      <w:r w:rsidR="003E043A">
        <w:t xml:space="preserve">; </w:t>
      </w:r>
      <w:r>
        <w:t>p.36</w:t>
      </w:r>
    </w:p>
  </w:footnote>
  <w:footnote w:id="26">
    <w:p w14:paraId="454C1D9D" w14:textId="2EA424CD" w:rsidR="009C3EAC" w:rsidRDefault="009C3EAC" w:rsidP="005C5B13">
      <w:pPr>
        <w:pStyle w:val="FootnoteNiall"/>
      </w:pPr>
      <w:r>
        <w:rPr>
          <w:rStyle w:val="FootnoteReference"/>
        </w:rPr>
        <w:footnoteRef/>
      </w:r>
      <w:r>
        <w:t xml:space="preserve"> </w:t>
      </w:r>
      <w:r w:rsidR="003E043A">
        <w:t xml:space="preserve">AMPC (2022); </w:t>
      </w:r>
      <w:r w:rsidR="003E043A" w:rsidRPr="003E043A">
        <w:rPr>
          <w:i/>
          <w:iCs/>
        </w:rPr>
        <w:t>Second advanced water recycling trial begins in Western Australia</w:t>
      </w:r>
      <w:r w:rsidR="003E043A">
        <w:t xml:space="preserve">; </w:t>
      </w:r>
      <w:r w:rsidRPr="005C5B13">
        <w:t>https://ampc.com.au/news-events/news/second-advanced-water-recycling-trial-begins-in-western-oz</w:t>
      </w:r>
      <w:r w:rsidR="003E043A">
        <w:t>; viewed 31/08/2022.</w:t>
      </w:r>
    </w:p>
  </w:footnote>
  <w:footnote w:id="27">
    <w:p w14:paraId="1ABA00D5" w14:textId="252D6073" w:rsidR="009C3EAC" w:rsidRDefault="009C3EAC" w:rsidP="003E043A">
      <w:pPr>
        <w:pStyle w:val="FootnoteNiall"/>
      </w:pPr>
      <w:r>
        <w:rPr>
          <w:rStyle w:val="FootnoteReference"/>
        </w:rPr>
        <w:footnoteRef/>
      </w:r>
      <w:r>
        <w:t xml:space="preserve"> </w:t>
      </w:r>
      <w:r w:rsidR="003E043A">
        <w:t xml:space="preserve">Australian Government (2020); </w:t>
      </w:r>
      <w:r w:rsidR="003E043A" w:rsidRPr="003E043A">
        <w:rPr>
          <w:i/>
          <w:iCs/>
        </w:rPr>
        <w:t>Modernising the meat export regulatory system</w:t>
      </w:r>
      <w:r w:rsidR="003E043A">
        <w:t xml:space="preserve">; </w:t>
      </w:r>
      <w:r w:rsidRPr="002A7258">
        <w:t>https://www.awe.gov.au/about/news/media-releases/modernising-meat-export-regulatory-system</w:t>
      </w:r>
      <w:r w:rsidR="003E043A">
        <w:t>; viewed 31/08/2022.</w:t>
      </w:r>
    </w:p>
  </w:footnote>
  <w:footnote w:id="28">
    <w:p w14:paraId="6DE59252" w14:textId="628AD129" w:rsidR="009C3EAC" w:rsidRDefault="009C3EAC" w:rsidP="007A3AF7">
      <w:pPr>
        <w:pStyle w:val="FootnoteNiall"/>
      </w:pPr>
      <w:r>
        <w:rPr>
          <w:rStyle w:val="FootnoteReference"/>
        </w:rPr>
        <w:footnoteRef/>
      </w:r>
      <w:r>
        <w:t xml:space="preserve"> </w:t>
      </w:r>
      <w:r w:rsidR="003E043A">
        <w:t>AMPC (202</w:t>
      </w:r>
      <w:r w:rsidR="00426CF2">
        <w:t>0</w:t>
      </w:r>
      <w:r w:rsidR="003E043A">
        <w:t xml:space="preserve">); </w:t>
      </w:r>
      <w:r w:rsidR="003E043A" w:rsidRPr="00426CF2">
        <w:rPr>
          <w:i/>
          <w:iCs/>
        </w:rPr>
        <w:t>Digital Transformation Roadmap</w:t>
      </w:r>
      <w:r w:rsidR="003E043A">
        <w:t xml:space="preserve">; </w:t>
      </w:r>
      <w:r w:rsidRPr="0009076B">
        <w:t>https://www.ampc.com.au/getmedia/b704265d-af17-4356-ba0c-676ba7ce15d5/AMPC_DigitalTransformationRoadmap_Factsheet.pdf?ext=.pdf</w:t>
      </w:r>
    </w:p>
  </w:footnote>
  <w:footnote w:id="29">
    <w:p w14:paraId="5060A891" w14:textId="0232CD24" w:rsidR="009C3EAC" w:rsidRDefault="009C3EAC" w:rsidP="002410B9">
      <w:pPr>
        <w:pStyle w:val="FootnoteNiall"/>
      </w:pPr>
      <w:r>
        <w:rPr>
          <w:rStyle w:val="FootnoteReference"/>
        </w:rPr>
        <w:footnoteRef/>
      </w:r>
      <w:r>
        <w:t xml:space="preserve"> RMAC (2020); </w:t>
      </w:r>
      <w:r w:rsidRPr="002410B9">
        <w:rPr>
          <w:i/>
          <w:iCs/>
        </w:rPr>
        <w:t>Meat Industry Strategic Plan</w:t>
      </w:r>
    </w:p>
  </w:footnote>
  <w:footnote w:id="30">
    <w:p w14:paraId="39DB90AA" w14:textId="274D04A9" w:rsidR="009C3EAC" w:rsidRDefault="009C3EAC" w:rsidP="00B13962">
      <w:pPr>
        <w:pStyle w:val="FootnoteNiall"/>
      </w:pPr>
      <w:r>
        <w:rPr>
          <w:rStyle w:val="FootnoteReference"/>
        </w:rPr>
        <w:footnoteRef/>
      </w:r>
      <w:r>
        <w:t xml:space="preserve"> </w:t>
      </w:r>
      <w:r w:rsidR="00426CF2">
        <w:t xml:space="preserve">AMPC (2022); </w:t>
      </w:r>
      <w:r w:rsidR="00426CF2" w:rsidRPr="00426CF2">
        <w:rPr>
          <w:i/>
          <w:iCs/>
        </w:rPr>
        <w:t>Advanced manufacturing</w:t>
      </w:r>
      <w:r w:rsidR="00426CF2">
        <w:t>;</w:t>
      </w:r>
      <w:r w:rsidR="00426CF2" w:rsidRPr="00426CF2">
        <w:t xml:space="preserve"> </w:t>
      </w:r>
      <w:r w:rsidRPr="00B13962">
        <w:t>https://www.ampc.com.au/research-development/advanced-manufacturing</w:t>
      </w:r>
      <w:r w:rsidR="00426CF2">
        <w:t>; viewed 31/08/2022.</w:t>
      </w:r>
    </w:p>
  </w:footnote>
  <w:footnote w:id="31">
    <w:p w14:paraId="04CEBCC1" w14:textId="123B9F8B" w:rsidR="009C3EAC" w:rsidRDefault="009C3EAC" w:rsidP="00EE7283">
      <w:pPr>
        <w:pStyle w:val="FootnoteNiall"/>
      </w:pPr>
      <w:r>
        <w:rPr>
          <w:rStyle w:val="FootnoteReference"/>
        </w:rPr>
        <w:footnoteRef/>
      </w:r>
      <w:r>
        <w:t xml:space="preserve"> </w:t>
      </w:r>
      <w:r w:rsidR="00426CF2">
        <w:t xml:space="preserve">AMPC (2021); </w:t>
      </w:r>
      <w:r w:rsidR="00426CF2" w:rsidRPr="00426CF2">
        <w:rPr>
          <w:i/>
          <w:iCs/>
        </w:rPr>
        <w:t>Shadow Robotics</w:t>
      </w:r>
    </w:p>
  </w:footnote>
  <w:footnote w:id="32">
    <w:p w14:paraId="5806A517" w14:textId="58CB5ACF" w:rsidR="009C3EAC" w:rsidRDefault="009C3EAC" w:rsidP="00426CF2">
      <w:pPr>
        <w:pStyle w:val="FootnoteNiall"/>
      </w:pPr>
      <w:r>
        <w:rPr>
          <w:rStyle w:val="FootnoteReference"/>
        </w:rPr>
        <w:footnoteRef/>
      </w:r>
      <w:r>
        <w:t xml:space="preserve"> </w:t>
      </w:r>
      <w:r w:rsidR="00426CF2">
        <w:t xml:space="preserve">MLA (2020); </w:t>
      </w:r>
      <w:r w:rsidR="00426CF2" w:rsidRPr="00426CF2">
        <w:rPr>
          <w:i/>
          <w:iCs/>
        </w:rPr>
        <w:t>Rural R&amp;D for Profit Program: Advanced Livestock Measurement Technologies for Globally Competitive Australian Meat Value Chains (ALMTech)</w:t>
      </w:r>
    </w:p>
  </w:footnote>
  <w:footnote w:id="33">
    <w:p w14:paraId="20D14962" w14:textId="248C3DF8" w:rsidR="009C3EAC" w:rsidRDefault="009C3EAC" w:rsidP="00C4707F">
      <w:pPr>
        <w:pStyle w:val="FootnoteNiall"/>
      </w:pPr>
      <w:r>
        <w:rPr>
          <w:rStyle w:val="FootnoteReference"/>
        </w:rPr>
        <w:footnoteRef/>
      </w:r>
      <w:r>
        <w:t xml:space="preserve"> </w:t>
      </w:r>
      <w:r w:rsidR="00426CF2">
        <w:t xml:space="preserve">MLA (2020); </w:t>
      </w:r>
      <w:r w:rsidR="00426CF2" w:rsidRPr="00426CF2">
        <w:rPr>
          <w:i/>
          <w:iCs/>
        </w:rPr>
        <w:t>DEXA technology</w:t>
      </w:r>
      <w:r w:rsidR="00426CF2">
        <w:t xml:space="preserve">; </w:t>
      </w:r>
      <w:r w:rsidRPr="00C4707F">
        <w:t>https://www.mla.com.au/globalassets/mla-corporate/news-and-events/documents/dexa-factsheet-lr.pdf</w:t>
      </w:r>
    </w:p>
  </w:footnote>
  <w:footnote w:id="34">
    <w:p w14:paraId="61F761D7" w14:textId="60A7D973" w:rsidR="009C3EAC" w:rsidRDefault="009C3EAC" w:rsidP="00655CC3">
      <w:pPr>
        <w:pStyle w:val="FootnoteNiall"/>
      </w:pPr>
      <w:r>
        <w:rPr>
          <w:rStyle w:val="FootnoteReference"/>
        </w:rPr>
        <w:footnoteRef/>
      </w:r>
      <w:r>
        <w:t xml:space="preserve"> </w:t>
      </w:r>
      <w:r w:rsidR="00426CF2">
        <w:t xml:space="preserve">MLA (2020); </w:t>
      </w:r>
      <w:r w:rsidR="00426CF2" w:rsidRPr="00426CF2">
        <w:rPr>
          <w:i/>
          <w:iCs/>
        </w:rPr>
        <w:t>Rural R&amp;D for Profit Program: Advanced Livestock Measurement Technologies for Globally Competitive Australian Meat Value Chains (ALMTech)</w:t>
      </w:r>
      <w:r w:rsidR="00426CF2">
        <w:t xml:space="preserve">; </w:t>
      </w:r>
      <w:r w:rsidR="00426CF2" w:rsidRPr="00426CF2">
        <w:t>https://www.mla.com.au/research-and-development/reports/2020/grant-agreement-rnd4profit-15-02-031-advanced-measurement-technologies-for-globally-competitive-australian-meat-value-chains/</w:t>
      </w:r>
      <w:r w:rsidR="00426CF2">
        <w:t>; viewed 31/08/2022.</w:t>
      </w:r>
    </w:p>
  </w:footnote>
  <w:footnote w:id="35">
    <w:p w14:paraId="08EB08B8" w14:textId="7A694DA3" w:rsidR="009C3EAC" w:rsidRDefault="009C3EAC" w:rsidP="00E53198">
      <w:pPr>
        <w:pStyle w:val="FootnoteNiall"/>
      </w:pPr>
      <w:r>
        <w:rPr>
          <w:rStyle w:val="FootnoteReference"/>
        </w:rPr>
        <w:footnoteRef/>
      </w:r>
      <w:r>
        <w:t xml:space="preserve"> </w:t>
      </w:r>
      <w:r w:rsidR="00E53198">
        <w:t xml:space="preserve">Australian Government (2021); </w:t>
      </w:r>
      <w:r w:rsidR="00E53198" w:rsidRPr="00E53198">
        <w:rPr>
          <w:i/>
          <w:iCs/>
        </w:rPr>
        <w:t>Australian Export Meat Inspection System (AEMIS): Post-mortem inspection roles of the Food Safety Meat Assessor (FSMA) in red meat processing establishments</w:t>
      </w:r>
      <w:r w:rsidR="00E53198">
        <w:t xml:space="preserve">; </w:t>
      </w:r>
      <w:r w:rsidRPr="00F6583C">
        <w:t>https://www.awe.gov.au/sites/default/files/documents/fsma-inspection-roles-meat-reform.pdf</w:t>
      </w:r>
    </w:p>
  </w:footnote>
  <w:footnote w:id="36">
    <w:p w14:paraId="4E350D43" w14:textId="2EA3DDC5" w:rsidR="009C3EAC" w:rsidRDefault="009C3EAC" w:rsidP="002F5B83">
      <w:pPr>
        <w:pStyle w:val="FootnoteNiall"/>
      </w:pPr>
      <w:r>
        <w:rPr>
          <w:rStyle w:val="FootnoteReference"/>
        </w:rPr>
        <w:footnoteRef/>
      </w:r>
      <w:r>
        <w:t xml:space="preserve"> </w:t>
      </w:r>
      <w:r w:rsidR="00E53198">
        <w:t xml:space="preserve">RMAC (2022); </w:t>
      </w:r>
      <w:r w:rsidR="00E53198" w:rsidRPr="001515AA">
        <w:rPr>
          <w:i/>
          <w:iCs/>
        </w:rPr>
        <w:t>Australian Beef Sustainability Framework: Annual Update 2022</w:t>
      </w:r>
    </w:p>
  </w:footnote>
  <w:footnote w:id="37">
    <w:p w14:paraId="6CDF801B" w14:textId="5880C3F2" w:rsidR="00517EE4" w:rsidRPr="00517EE4" w:rsidRDefault="00517EE4" w:rsidP="00517EE4">
      <w:pPr>
        <w:pStyle w:val="FootnoteNiall"/>
      </w:pPr>
      <w:r>
        <w:rPr>
          <w:rStyle w:val="FootnoteReference"/>
        </w:rPr>
        <w:footnoteRef/>
      </w:r>
      <w:r>
        <w:t xml:space="preserve"> RSPCA (2021); </w:t>
      </w:r>
      <w:r w:rsidRPr="00517EE4">
        <w:rPr>
          <w:i/>
          <w:iCs/>
        </w:rPr>
        <w:t xml:space="preserve">Animal welfare in abattoirs, poultry processors and knackeries </w:t>
      </w:r>
      <w:r>
        <w:rPr>
          <w:i/>
          <w:iCs/>
        </w:rPr>
        <w:t>–</w:t>
      </w:r>
      <w:r w:rsidRPr="00517EE4">
        <w:rPr>
          <w:i/>
          <w:iCs/>
        </w:rPr>
        <w:t xml:space="preserve"> regulatory scorecard</w:t>
      </w:r>
      <w:r>
        <w:t>; p.28.</w:t>
      </w:r>
    </w:p>
  </w:footnote>
  <w:footnote w:id="38">
    <w:p w14:paraId="66AF8BFC" w14:textId="18C731BD" w:rsidR="009C3EAC" w:rsidRDefault="009C3EAC" w:rsidP="0019375F">
      <w:pPr>
        <w:pStyle w:val="FootnoteNiall"/>
      </w:pPr>
      <w:r>
        <w:rPr>
          <w:rStyle w:val="FootnoteReference"/>
        </w:rPr>
        <w:footnoteRef/>
      </w:r>
      <w:r>
        <w:t xml:space="preserve"> </w:t>
      </w:r>
      <w:r w:rsidR="00E53198">
        <w:t xml:space="preserve">MINTRAC (2022); </w:t>
      </w:r>
      <w:r w:rsidR="00E53198" w:rsidRPr="00E53198">
        <w:rPr>
          <w:i/>
          <w:iCs/>
        </w:rPr>
        <w:t>Fact Sheet</w:t>
      </w:r>
      <w:r w:rsidR="00E53198">
        <w:t xml:space="preserve">; </w:t>
      </w:r>
      <w:r w:rsidR="00E53198" w:rsidRPr="00E53198">
        <w:t>https://mintrac-whs.com.au/fact-sheet/</w:t>
      </w:r>
      <w:r w:rsidR="00E53198">
        <w:t>; viewed 31/08/2022.</w:t>
      </w:r>
    </w:p>
  </w:footnote>
  <w:footnote w:id="39">
    <w:p w14:paraId="01876E74" w14:textId="61E096D4" w:rsidR="009C3EAC" w:rsidRDefault="009C3EAC" w:rsidP="004B653F">
      <w:pPr>
        <w:pStyle w:val="FootnoteNiall"/>
      </w:pPr>
      <w:r>
        <w:rPr>
          <w:rStyle w:val="FootnoteReference"/>
        </w:rPr>
        <w:footnoteRef/>
      </w:r>
      <w:r>
        <w:t xml:space="preserve"> </w:t>
      </w:r>
      <w:r w:rsidR="00E53198">
        <w:t xml:space="preserve">AMPC (2022); </w:t>
      </w:r>
      <w:r w:rsidR="00E53198" w:rsidRPr="00E53198">
        <w:rPr>
          <w:i/>
          <w:iCs/>
        </w:rPr>
        <w:t>AMPC WHS Conference</w:t>
      </w:r>
      <w:r w:rsidR="00E53198">
        <w:t>;</w:t>
      </w:r>
      <w:r w:rsidR="00E53198" w:rsidRPr="00E53198">
        <w:t xml:space="preserve"> </w:t>
      </w:r>
      <w:r w:rsidRPr="004B653F">
        <w:t>https://www.ampc.com.au/news-events/events/ampc-whs-conference</w:t>
      </w:r>
      <w:r w:rsidR="00E53198">
        <w:t>; viewed 31/08/2022.</w:t>
      </w:r>
    </w:p>
  </w:footnote>
  <w:footnote w:id="40">
    <w:p w14:paraId="6DBFE42A" w14:textId="6F94AC92" w:rsidR="009C3EAC" w:rsidRDefault="009C3EAC" w:rsidP="00591CC2">
      <w:pPr>
        <w:pStyle w:val="FootnoteNiall"/>
      </w:pPr>
      <w:r>
        <w:rPr>
          <w:rStyle w:val="FootnoteReference"/>
        </w:rPr>
        <w:footnoteRef/>
      </w:r>
      <w:r>
        <w:t xml:space="preserve"> </w:t>
      </w:r>
      <w:r w:rsidR="00E53198">
        <w:t xml:space="preserve">The Conversation (2020); </w:t>
      </w:r>
      <w:r w:rsidR="00E53198" w:rsidRPr="00E53198">
        <w:rPr>
          <w:i/>
          <w:iCs/>
        </w:rPr>
        <w:t>Animals suffer for meat production – and abattoir workers do too</w:t>
      </w:r>
      <w:r w:rsidR="00E53198">
        <w:t xml:space="preserve">; </w:t>
      </w:r>
      <w:r w:rsidRPr="00591CC2">
        <w:t>https://theconversation.com/animals-suffer-for-meat-production-and-abattoir-workers-do-too-127506</w:t>
      </w:r>
      <w:r w:rsidR="00E53198">
        <w:t>; viewed 31/08/2022.</w:t>
      </w:r>
    </w:p>
  </w:footnote>
  <w:footnote w:id="41">
    <w:p w14:paraId="3FC47E9A" w14:textId="754092E1" w:rsidR="009C3EAC" w:rsidRDefault="009C3EAC" w:rsidP="00E80411">
      <w:pPr>
        <w:pStyle w:val="FootnoteNiall"/>
      </w:pPr>
      <w:r>
        <w:rPr>
          <w:rStyle w:val="FootnoteReference"/>
        </w:rPr>
        <w:footnoteRef/>
      </w:r>
      <w:r>
        <w:t xml:space="preserve"> </w:t>
      </w:r>
      <w:r w:rsidR="00E53198">
        <w:t xml:space="preserve">FarmHub (2022); </w:t>
      </w:r>
      <w:r w:rsidR="00E53198" w:rsidRPr="00E53198">
        <w:rPr>
          <w:i/>
          <w:iCs/>
        </w:rPr>
        <w:t>Mental Health Resources</w:t>
      </w:r>
      <w:r w:rsidR="00E53198">
        <w:t xml:space="preserve">; </w:t>
      </w:r>
      <w:r w:rsidRPr="00E80411">
        <w:t>https://farmhub.org.au/mental-health/</w:t>
      </w:r>
      <w:r w:rsidR="00E53198">
        <w:t>; viewed 31/08/2022.</w:t>
      </w:r>
    </w:p>
  </w:footnote>
  <w:footnote w:id="42">
    <w:p w14:paraId="4223B51E" w14:textId="2A2770F9" w:rsidR="009C3EAC" w:rsidRDefault="009C3EAC" w:rsidP="00C6780C">
      <w:pPr>
        <w:pStyle w:val="FootnoteNiall"/>
      </w:pPr>
      <w:r>
        <w:rPr>
          <w:rStyle w:val="FootnoteReference"/>
        </w:rPr>
        <w:footnoteRef/>
      </w:r>
      <w:r>
        <w:t xml:space="preserve"> </w:t>
      </w:r>
      <w:r w:rsidRPr="00A86AED">
        <w:t>IBISWorld</w:t>
      </w:r>
      <w:r>
        <w:t xml:space="preserve"> (2022); </w:t>
      </w:r>
      <w:r w:rsidRPr="00C6780C">
        <w:rPr>
          <w:i/>
          <w:iCs/>
        </w:rPr>
        <w:t>Meat Processing in Australia</w:t>
      </w:r>
    </w:p>
  </w:footnote>
  <w:footnote w:id="43">
    <w:p w14:paraId="00B0E447" w14:textId="6AABD181" w:rsidR="009C3EAC" w:rsidRDefault="009C3EAC" w:rsidP="00E243C8">
      <w:pPr>
        <w:pStyle w:val="FootnoteNiall"/>
      </w:pPr>
      <w:r>
        <w:rPr>
          <w:rStyle w:val="FootnoteReference"/>
        </w:rPr>
        <w:footnoteRef/>
      </w:r>
      <w:r>
        <w:t xml:space="preserve"> </w:t>
      </w:r>
      <w:r w:rsidR="00E53198">
        <w:t>ABARES (2022);</w:t>
      </w:r>
      <w:r w:rsidR="00E53198" w:rsidRPr="00E53198">
        <w:t xml:space="preserve"> </w:t>
      </w:r>
      <w:r w:rsidR="00E53198" w:rsidRPr="00E53198">
        <w:rPr>
          <w:i/>
          <w:iCs/>
        </w:rPr>
        <w:t>Agricultural overview: June quarter 2022</w:t>
      </w:r>
      <w:r w:rsidR="00E53198">
        <w:t xml:space="preserve">; </w:t>
      </w:r>
      <w:r w:rsidR="00E53198" w:rsidRPr="00E53198">
        <w:t>https://www.awe.gov.au/abares/research-topics/agricultural-outlook/agriculture-overview#agricultural-exports-forecast-to-be-record-65-billion-in-202223</w:t>
      </w:r>
      <w:r w:rsidR="00E53198">
        <w:t>; viewed 31/08/2022.</w:t>
      </w:r>
    </w:p>
  </w:footnote>
  <w:footnote w:id="44">
    <w:p w14:paraId="680FC922" w14:textId="7A5E016E" w:rsidR="009C3EAC" w:rsidRDefault="009C3EAC" w:rsidP="008D02CA">
      <w:pPr>
        <w:pStyle w:val="FootnoteNiall"/>
      </w:pPr>
      <w:r>
        <w:rPr>
          <w:rStyle w:val="FootnoteReference"/>
        </w:rPr>
        <w:footnoteRef/>
      </w:r>
      <w:r>
        <w:t xml:space="preserve"> </w:t>
      </w:r>
      <w:r w:rsidR="00884EFB">
        <w:t>ABARES (2022);</w:t>
      </w:r>
      <w:r w:rsidR="00884EFB" w:rsidRPr="00E53198">
        <w:t xml:space="preserve"> </w:t>
      </w:r>
      <w:r w:rsidR="00884EFB" w:rsidRPr="00884EFB">
        <w:rPr>
          <w:i/>
          <w:iCs/>
        </w:rPr>
        <w:t>Outlook for livestock: June quarter 2022</w:t>
      </w:r>
      <w:r w:rsidR="00884EFB">
        <w:t>;</w:t>
      </w:r>
      <w:r w:rsidR="00884EFB" w:rsidRPr="00884EFB">
        <w:t xml:space="preserve"> </w:t>
      </w:r>
      <w:r w:rsidRPr="008D02CA">
        <w:t>https://www.awe.gov.au/abares/research-topics/agricultural-outlook/livestock#domestic-factors-to-have-strongest-impacts-on-livestock-sector-prices</w:t>
      </w:r>
      <w:r w:rsidR="00884EFB">
        <w:t>; viewed 31/08/2022.</w:t>
      </w:r>
    </w:p>
  </w:footnote>
  <w:footnote w:id="45">
    <w:p w14:paraId="0E84EDB3" w14:textId="77777777" w:rsidR="009C3EAC" w:rsidRDefault="009C3EAC" w:rsidP="00FC0356">
      <w:pPr>
        <w:pStyle w:val="FootnoteNiall"/>
      </w:pPr>
      <w:r>
        <w:rPr>
          <w:rStyle w:val="FootnoteReference"/>
        </w:rPr>
        <w:footnoteRef/>
      </w:r>
      <w:r>
        <w:t xml:space="preserve"> Australian Government (2021); </w:t>
      </w:r>
      <w:r w:rsidRPr="003522CD">
        <w:rPr>
          <w:i/>
          <w:iCs/>
        </w:rPr>
        <w:t>Money on the table for Meat Exporters</w:t>
      </w:r>
      <w:r>
        <w:t>;</w:t>
      </w:r>
      <w:r w:rsidRPr="00544703">
        <w:t xml:space="preserve"> </w:t>
      </w:r>
      <w:r>
        <w:t xml:space="preserve">The Hon. David Littleproud MP; </w:t>
      </w:r>
      <w:r w:rsidRPr="003522CD">
        <w:t>https://minister.awe.gov.au/littleproud/media-releases/money-table-meat-exporters</w:t>
      </w:r>
      <w:r>
        <w:t>; viewed 29/09/2021.</w:t>
      </w:r>
    </w:p>
  </w:footnote>
  <w:footnote w:id="46">
    <w:p w14:paraId="0F3851E5" w14:textId="6AD46AF1" w:rsidR="009C3EAC" w:rsidRDefault="009C3EAC" w:rsidP="00785DA0">
      <w:pPr>
        <w:pStyle w:val="FootnoteNiall"/>
      </w:pPr>
      <w:r>
        <w:rPr>
          <w:rStyle w:val="FootnoteReference"/>
        </w:rPr>
        <w:footnoteRef/>
      </w:r>
      <w:r>
        <w:t xml:space="preserve"> </w:t>
      </w:r>
      <w:r w:rsidR="00884EFB">
        <w:t>ABARES (2022);</w:t>
      </w:r>
      <w:r w:rsidR="00884EFB" w:rsidRPr="00E53198">
        <w:t xml:space="preserve"> </w:t>
      </w:r>
      <w:r w:rsidR="00884EFB" w:rsidRPr="00884EFB">
        <w:rPr>
          <w:i/>
          <w:iCs/>
        </w:rPr>
        <w:t>Outlook for livestock: June quarter 2022</w:t>
      </w:r>
      <w:r w:rsidR="00884EFB">
        <w:t>;</w:t>
      </w:r>
      <w:r w:rsidR="00884EFB" w:rsidRPr="00884EFB">
        <w:t xml:space="preserve"> </w:t>
      </w:r>
      <w:r w:rsidRPr="00785DA0">
        <w:t>https://www.awe.gov.au/abares/research-topics/agricultural-outlook/livestock#opportunities-and-challenges</w:t>
      </w:r>
      <w:r w:rsidR="00884EFB">
        <w:t>; viewed 31/08/2022.</w:t>
      </w:r>
    </w:p>
  </w:footnote>
  <w:footnote w:id="47">
    <w:p w14:paraId="57C222E6" w14:textId="77777777" w:rsidR="009C3EAC" w:rsidRPr="009746AD" w:rsidRDefault="009C3EAC" w:rsidP="00B41307">
      <w:pPr>
        <w:pStyle w:val="FootnoteNiall"/>
      </w:pPr>
      <w:r>
        <w:rPr>
          <w:rStyle w:val="FootnoteReference"/>
        </w:rPr>
        <w:footnoteRef/>
      </w:r>
      <w:r>
        <w:t xml:space="preserve"> National Farmers’ Federation (2022); </w:t>
      </w:r>
      <w:r w:rsidRPr="009746AD">
        <w:rPr>
          <w:i/>
          <w:iCs/>
        </w:rPr>
        <w:t>Pre-Budget Submission 2022-23</w:t>
      </w:r>
      <w:r>
        <w:t>; p.22</w:t>
      </w:r>
    </w:p>
  </w:footnote>
  <w:footnote w:id="48">
    <w:p w14:paraId="6CDABA3B" w14:textId="77777777" w:rsidR="009C3EAC" w:rsidRDefault="009C3EAC" w:rsidP="00CB27E8">
      <w:pPr>
        <w:pStyle w:val="FootnoteNiall"/>
      </w:pPr>
      <w:r>
        <w:rPr>
          <w:rStyle w:val="FootnoteReference"/>
        </w:rPr>
        <w:footnoteRef/>
      </w:r>
      <w:r>
        <w:t xml:space="preserve"> </w:t>
      </w:r>
      <w:r w:rsidRPr="00BA3AD2">
        <w:t xml:space="preserve">National Skills Commission </w:t>
      </w:r>
      <w:r>
        <w:t xml:space="preserve">(2021); </w:t>
      </w:r>
      <w:r w:rsidRPr="004C3D47">
        <w:rPr>
          <w:i/>
          <w:iCs/>
        </w:rPr>
        <w:t>Skills Priority List Methodology</w:t>
      </w:r>
      <w:r>
        <w:t>; p.5</w:t>
      </w:r>
    </w:p>
  </w:footnote>
  <w:footnote w:id="49">
    <w:p w14:paraId="5B50F4EF" w14:textId="77777777" w:rsidR="009C3EAC" w:rsidRDefault="009C3EAC" w:rsidP="00760FEB">
      <w:pPr>
        <w:pStyle w:val="FootnoteNiall"/>
      </w:pPr>
      <w:r>
        <w:rPr>
          <w:rStyle w:val="FootnoteReference"/>
        </w:rPr>
        <w:footnoteRef/>
      </w:r>
      <w:r>
        <w:t xml:space="preserve"> AMIC (2022); </w:t>
      </w:r>
      <w:r w:rsidRPr="00F83C31">
        <w:rPr>
          <w:i/>
          <w:iCs/>
        </w:rPr>
        <w:t>Domestic meat shortages loom as processors face COVID- induced labour shortage</w:t>
      </w:r>
      <w:r>
        <w:t xml:space="preserve">; </w:t>
      </w:r>
      <w:r w:rsidRPr="00F83C31">
        <w:t>https://amic.org.au/domestic-meat-shortages-loom-as-processors-face-covid-induced-labour-shortage/</w:t>
      </w:r>
      <w:r>
        <w:t>; viewed 17/03/2022.</w:t>
      </w:r>
    </w:p>
  </w:footnote>
  <w:footnote w:id="50">
    <w:p w14:paraId="6153C1E7" w14:textId="5FF2BD1C" w:rsidR="009C3EAC" w:rsidRDefault="009C3EAC" w:rsidP="004E1017">
      <w:pPr>
        <w:pStyle w:val="FootnoteNiall"/>
      </w:pPr>
      <w:r>
        <w:rPr>
          <w:rStyle w:val="FootnoteReference"/>
        </w:rPr>
        <w:footnoteRef/>
      </w:r>
      <w:r>
        <w:t xml:space="preserve"> </w:t>
      </w:r>
      <w:r w:rsidR="00884EFB">
        <w:t xml:space="preserve">Beef Central (2022); </w:t>
      </w:r>
      <w:r w:rsidR="00884EFB" w:rsidRPr="00884EFB">
        <w:rPr>
          <w:i/>
          <w:iCs/>
        </w:rPr>
        <w:t>Processing labour crisis threatens to deepen, as ‘first-round’ Pacific workers head home</w:t>
      </w:r>
      <w:r w:rsidR="00884EFB">
        <w:t xml:space="preserve">; </w:t>
      </w:r>
      <w:r w:rsidR="00884EFB" w:rsidRPr="00884EFB">
        <w:t>https://www.beefcentral.com/processing/processing-labour-crisis-threatens-to-deepen-as-first-round-pacific-workers-head-home/</w:t>
      </w:r>
      <w:r w:rsidR="00884EFB">
        <w:t>; viewed 06/06/2022.</w:t>
      </w:r>
    </w:p>
  </w:footnote>
  <w:footnote w:id="51">
    <w:p w14:paraId="3294D2F4" w14:textId="46B2B137" w:rsidR="009C3EAC" w:rsidRDefault="009C3EAC" w:rsidP="00AD00DE">
      <w:pPr>
        <w:pStyle w:val="FootnoteNiall"/>
      </w:pPr>
      <w:r>
        <w:rPr>
          <w:rStyle w:val="FootnoteReference"/>
        </w:rPr>
        <w:footnoteRef/>
      </w:r>
      <w:r>
        <w:t xml:space="preserve"> </w:t>
      </w:r>
      <w:r w:rsidR="00884EFB">
        <w:t xml:space="preserve">AMIC (2022); </w:t>
      </w:r>
      <w:r w:rsidR="00884EFB" w:rsidRPr="00884EFB">
        <w:rPr>
          <w:i/>
          <w:iCs/>
        </w:rPr>
        <w:t>Access to Labour</w:t>
      </w:r>
      <w:r w:rsidR="00884EFB">
        <w:t xml:space="preserve">; </w:t>
      </w:r>
      <w:r w:rsidR="00884EFB" w:rsidRPr="00884EFB">
        <w:t>https://amic.org.au/access-to-labour/</w:t>
      </w:r>
      <w:r w:rsidR="00884EFB">
        <w:t>; viewed 31/08/2022.</w:t>
      </w:r>
    </w:p>
  </w:footnote>
  <w:footnote w:id="52">
    <w:p w14:paraId="615CC7F6" w14:textId="6E0A5B63" w:rsidR="009C3EAC" w:rsidRDefault="009C3EAC" w:rsidP="00E86908">
      <w:pPr>
        <w:pStyle w:val="FootnoteNiall"/>
      </w:pPr>
      <w:r>
        <w:rPr>
          <w:rStyle w:val="FootnoteReference"/>
        </w:rPr>
        <w:footnoteRef/>
      </w:r>
      <w:r>
        <w:t xml:space="preserve"> </w:t>
      </w:r>
      <w:r w:rsidR="00884EFB">
        <w:t xml:space="preserve">AMPC (2022); </w:t>
      </w:r>
      <w:r w:rsidR="00884EFB" w:rsidRPr="00884EFB">
        <w:rPr>
          <w:i/>
          <w:iCs/>
        </w:rPr>
        <w:t>Bernard graduates the Australian rural leadership program</w:t>
      </w:r>
      <w:r w:rsidR="00884EFB">
        <w:t>;</w:t>
      </w:r>
      <w:r w:rsidR="00884EFB" w:rsidRPr="00884EFB">
        <w:t xml:space="preserve"> https://ampc.com.au/news-events/news/bernard-graduates-the-australian-rural-leadership-program</w:t>
      </w:r>
      <w:r w:rsidR="00884EFB">
        <w:t>; 30/05/2022.</w:t>
      </w:r>
    </w:p>
  </w:footnote>
  <w:footnote w:id="53">
    <w:p w14:paraId="1CFF3451" w14:textId="77777777" w:rsidR="009C3EAC" w:rsidRDefault="009C3EAC" w:rsidP="002C43DF">
      <w:pPr>
        <w:pStyle w:val="Footnote"/>
      </w:pPr>
      <w:r>
        <w:rPr>
          <w:rStyle w:val="FootnoteReference"/>
        </w:rPr>
        <w:footnoteRef/>
      </w:r>
      <w:r>
        <w:t xml:space="preserve"> </w:t>
      </w:r>
      <w:r w:rsidRPr="00EA7D7A">
        <w:t>C</w:t>
      </w:r>
      <w:r>
        <w:t xml:space="preserve">. </w:t>
      </w:r>
      <w:r w:rsidRPr="00EA7D7A">
        <w:t>Shah</w:t>
      </w:r>
      <w:r>
        <w:t xml:space="preserve"> (</w:t>
      </w:r>
      <w:r w:rsidRPr="00EA7D7A">
        <w:t>2017</w:t>
      </w:r>
      <w:r>
        <w:t>);</w:t>
      </w:r>
      <w:r w:rsidRPr="00EA7D7A">
        <w:t xml:space="preserve"> </w:t>
      </w:r>
      <w:r w:rsidRPr="00B9389F">
        <w:rPr>
          <w:i/>
          <w:iCs/>
        </w:rPr>
        <w:t>Employers' perspectives on training: three industries</w:t>
      </w:r>
      <w:r>
        <w:t>;</w:t>
      </w:r>
      <w:r w:rsidRPr="00EA7D7A">
        <w:t xml:space="preserve"> NCVER, Adelaide</w:t>
      </w:r>
      <w:r>
        <w:t>.</w:t>
      </w:r>
    </w:p>
  </w:footnote>
  <w:footnote w:id="54">
    <w:p w14:paraId="1870EB06" w14:textId="77777777" w:rsidR="009C3EAC" w:rsidRDefault="009C3EAC" w:rsidP="008829AF">
      <w:pPr>
        <w:pStyle w:val="FootnoteNiall"/>
      </w:pPr>
      <w:r>
        <w:rPr>
          <w:rStyle w:val="FootnoteReference"/>
        </w:rPr>
        <w:footnoteRef/>
      </w:r>
      <w:r>
        <w:t xml:space="preserve"> </w:t>
      </w:r>
      <w:r w:rsidRPr="00C311AE">
        <w:t xml:space="preserve">K. Bowman &amp; V.J. Callan (2021); </w:t>
      </w:r>
      <w:r w:rsidRPr="00884EFB">
        <w:rPr>
          <w:i/>
          <w:iCs/>
        </w:rPr>
        <w:t>Engaging more employers in nationally recognised training to develop their workforce - employer interviews - support document 3</w:t>
      </w:r>
      <w:r w:rsidRPr="00C311AE">
        <w:t>; NCVER, Adelaide; p.1</w:t>
      </w:r>
      <w:r>
        <w:t>2</w:t>
      </w:r>
    </w:p>
  </w:footnote>
  <w:footnote w:id="55">
    <w:p w14:paraId="56040A80" w14:textId="589A7BE4" w:rsidR="009C3EAC" w:rsidRDefault="009C3EAC" w:rsidP="0034552C">
      <w:pPr>
        <w:pStyle w:val="FootnoteNiall"/>
      </w:pPr>
      <w:r>
        <w:rPr>
          <w:rStyle w:val="FootnoteReference"/>
        </w:rPr>
        <w:footnoteRef/>
      </w:r>
      <w:r>
        <w:t xml:space="preserve"> </w:t>
      </w:r>
      <w:r w:rsidR="00884EFB">
        <w:t xml:space="preserve">Virtually There (2022); </w:t>
      </w:r>
      <w:r w:rsidR="00884EFB" w:rsidRPr="00884EFB">
        <w:rPr>
          <w:i/>
          <w:iCs/>
        </w:rPr>
        <w:t>Case Studies</w:t>
      </w:r>
      <w:r w:rsidR="00884EFB">
        <w:t>;</w:t>
      </w:r>
      <w:r w:rsidR="00884EFB" w:rsidRPr="00884EFB">
        <w:t xml:space="preserve"> https://www.virtuallytherevr.com/case-studies.html</w:t>
      </w:r>
      <w:r w:rsidR="00884EFB">
        <w:t>; viewed 31/08/2022.</w:t>
      </w:r>
    </w:p>
  </w:footnote>
  <w:footnote w:id="56">
    <w:p w14:paraId="5837BA03" w14:textId="5402F934" w:rsidR="009C3EAC" w:rsidRPr="0094194A" w:rsidRDefault="009C3EAC" w:rsidP="0094194A">
      <w:pPr>
        <w:pStyle w:val="FootnoteNiall"/>
      </w:pPr>
      <w:r>
        <w:rPr>
          <w:rStyle w:val="FootnoteReference"/>
        </w:rPr>
        <w:footnoteRef/>
      </w:r>
      <w:r>
        <w:t xml:space="preserve"> </w:t>
      </w:r>
      <w:r w:rsidRPr="0094194A">
        <w:t xml:space="preserve">IBISWorld (2022); </w:t>
      </w:r>
      <w:r w:rsidRPr="0094194A">
        <w:rPr>
          <w:i/>
          <w:iCs/>
        </w:rPr>
        <w:t>Meat Processing in Australia</w:t>
      </w:r>
      <w:r>
        <w:t>; p.21.</w:t>
      </w:r>
    </w:p>
  </w:footnote>
  <w:footnote w:id="57">
    <w:p w14:paraId="4821F440" w14:textId="77777777" w:rsidR="009C3EAC" w:rsidRPr="00D2733F" w:rsidRDefault="009C3EAC" w:rsidP="00443623">
      <w:pPr>
        <w:pStyle w:val="Footnote"/>
        <w:rPr>
          <w:lang w:val="en-US"/>
        </w:rPr>
      </w:pPr>
      <w:r>
        <w:rPr>
          <w:rStyle w:val="FootnoteReference"/>
        </w:rPr>
        <w:footnoteRef/>
      </w:r>
      <w:r>
        <w:t xml:space="preserve"> </w:t>
      </w:r>
      <w:r w:rsidRPr="00CC3AA6">
        <w:t xml:space="preserve">Commonwealth of Australia </w:t>
      </w:r>
      <w:r>
        <w:t>(</w:t>
      </w:r>
      <w:r w:rsidRPr="00CC3AA6">
        <w:t>2019</w:t>
      </w:r>
      <w:r>
        <w:t>);</w:t>
      </w:r>
      <w:r w:rsidRPr="00CC3AA6">
        <w:t xml:space="preserve"> </w:t>
      </w:r>
      <w:r w:rsidRPr="00802195">
        <w:rPr>
          <w:i/>
          <w:iCs/>
        </w:rPr>
        <w:t>National Regional, Rural and Remote Tertiary Education Strategy</w:t>
      </w:r>
      <w:r>
        <w:t>.</w:t>
      </w:r>
    </w:p>
  </w:footnote>
  <w:footnote w:id="58">
    <w:p w14:paraId="1745ACD2" w14:textId="77777777" w:rsidR="009C3EAC" w:rsidRDefault="009C3EAC" w:rsidP="00B70F77">
      <w:pPr>
        <w:pStyle w:val="FootnoteNiall"/>
      </w:pPr>
      <w:r>
        <w:rPr>
          <w:rStyle w:val="FootnoteReference"/>
        </w:rPr>
        <w:footnoteRef/>
      </w:r>
      <w:r>
        <w:t xml:space="preserve"> </w:t>
      </w:r>
      <w:r w:rsidRPr="004C63F1">
        <w:t xml:space="preserve">Transition Advisory Group (2021); </w:t>
      </w:r>
      <w:r w:rsidRPr="004C63F1">
        <w:rPr>
          <w:i/>
          <w:iCs/>
        </w:rPr>
        <w:t>Final Advice – New Industry Engagement Arrangements</w:t>
      </w:r>
      <w:r w:rsidRPr="004C63F1">
        <w:t>; Australian Government Department of Education, Skills and Employment; p.</w:t>
      </w:r>
      <w:r>
        <w:t>2.</w:t>
      </w:r>
    </w:p>
  </w:footnote>
  <w:footnote w:id="59">
    <w:p w14:paraId="38BF91F7" w14:textId="34F84AEA" w:rsidR="009C3EAC" w:rsidRDefault="009C3EAC" w:rsidP="000720A1">
      <w:pPr>
        <w:pStyle w:val="FootnoteNiall"/>
      </w:pPr>
      <w:r>
        <w:rPr>
          <w:rStyle w:val="FootnoteReference"/>
        </w:rPr>
        <w:footnoteRef/>
      </w:r>
      <w:r>
        <w:t xml:space="preserve"> </w:t>
      </w:r>
      <w:r w:rsidRPr="00131667">
        <w:t>Meat &amp; Livestock Australia (</w:t>
      </w:r>
      <w:r>
        <w:t xml:space="preserve">2022); </w:t>
      </w:r>
      <w:r w:rsidRPr="00914C57">
        <w:rPr>
          <w:i/>
          <w:iCs/>
        </w:rPr>
        <w:t>2021 State of the Industry report</w:t>
      </w:r>
      <w:r>
        <w:t xml:space="preserve">; </w:t>
      </w:r>
      <w:r w:rsidRPr="000720A1">
        <w:t>https://www.mla.com.au/globalassets/mla-corporate/prices--markets/documents/trends--analysis/soti-report/2789-mla-state-of-industry-report-2021_d11_single.pdf</w:t>
      </w:r>
    </w:p>
  </w:footnote>
  <w:footnote w:id="60">
    <w:p w14:paraId="4B8DA4B1" w14:textId="54854B6D" w:rsidR="009C3EAC" w:rsidRDefault="009C3EAC" w:rsidP="00D265E2">
      <w:pPr>
        <w:pStyle w:val="FootnoteNiall"/>
      </w:pPr>
      <w:r>
        <w:rPr>
          <w:rStyle w:val="FootnoteReference"/>
        </w:rPr>
        <w:footnoteRef/>
      </w:r>
      <w:r>
        <w:t xml:space="preserve"> </w:t>
      </w:r>
      <w:r w:rsidR="00884EFB">
        <w:t xml:space="preserve">ABC News (2021); </w:t>
      </w:r>
      <w:r w:rsidR="00A961AF" w:rsidRPr="00A961AF">
        <w:rPr>
          <w:i/>
          <w:iCs/>
        </w:rPr>
        <w:t>Indigenous workforce in beef industry nearly halves over short period</w:t>
      </w:r>
      <w:r w:rsidR="00A961AF">
        <w:t xml:space="preserve">; </w:t>
      </w:r>
      <w:r w:rsidR="00A961AF" w:rsidRPr="00A961AF">
        <w:t>https://www.abc.net.au/news/rural/2021-07-07/naidoc-indigenous-employment-beef-cattle-pastoral-grazing/100270438</w:t>
      </w:r>
      <w:r w:rsidR="00A961AF">
        <w:t>; viewed 31/08/2022.</w:t>
      </w:r>
    </w:p>
  </w:footnote>
  <w:footnote w:id="61">
    <w:p w14:paraId="0CF11EA9" w14:textId="3BBA3243" w:rsidR="009C3EAC" w:rsidRDefault="009C3EAC" w:rsidP="00434AB3">
      <w:pPr>
        <w:pStyle w:val="FootnoteNiall"/>
      </w:pPr>
      <w:r>
        <w:rPr>
          <w:rStyle w:val="FootnoteReference"/>
        </w:rPr>
        <w:footnoteRef/>
      </w:r>
      <w:r>
        <w:t xml:space="preserve"> </w:t>
      </w:r>
      <w:r w:rsidR="00A961AF">
        <w:t>ABC News (2021);</w:t>
      </w:r>
      <w:r w:rsidR="00A961AF" w:rsidRPr="00A961AF">
        <w:t xml:space="preserve"> </w:t>
      </w:r>
      <w:r w:rsidR="00A961AF" w:rsidRPr="00A961AF">
        <w:rPr>
          <w:i/>
          <w:iCs/>
        </w:rPr>
        <w:t>Gunbalanya abattoir loading five planes a week to get Arnhem Land beef to customers</w:t>
      </w:r>
      <w:r w:rsidR="00A961AF">
        <w:t xml:space="preserve">; </w:t>
      </w:r>
      <w:r w:rsidRPr="00434AB3">
        <w:t>https://www.abc.net.au/news/rural/2021-02-05/indigenous-abattoir-beef-flies-steaks-on-a-plane-from-gunbalanya/13121234</w:t>
      </w:r>
      <w:r w:rsidR="00A961AF">
        <w:t>; viewed 31/08/2022.</w:t>
      </w:r>
    </w:p>
  </w:footnote>
  <w:footnote w:id="62">
    <w:p w14:paraId="72789F67" w14:textId="580DDE98" w:rsidR="009C3EAC" w:rsidRDefault="009C3EAC" w:rsidP="00A961AF">
      <w:pPr>
        <w:pStyle w:val="FootnoteNiall"/>
      </w:pPr>
      <w:r>
        <w:rPr>
          <w:rStyle w:val="FootnoteReference"/>
        </w:rPr>
        <w:footnoteRef/>
      </w:r>
      <w:r>
        <w:t xml:space="preserve"> </w:t>
      </w:r>
      <w:r w:rsidR="00A961AF">
        <w:t xml:space="preserve">Australian Government (2021); </w:t>
      </w:r>
      <w:r w:rsidR="00A961AF" w:rsidRPr="00A961AF">
        <w:rPr>
          <w:i/>
          <w:iCs/>
        </w:rPr>
        <w:t>Gunbalanya Station and Meats</w:t>
      </w:r>
      <w:r w:rsidR="00A961AF">
        <w:t xml:space="preserve">; </w:t>
      </w:r>
      <w:r w:rsidRPr="007C2C93">
        <w:t>https://www.ilsc.gov.au/home/project-profiles/gunbalanya-station-and-meats/</w:t>
      </w:r>
      <w:r w:rsidR="00A961AF">
        <w:t>; viewed 31/08/2022.</w:t>
      </w:r>
    </w:p>
  </w:footnote>
  <w:footnote w:id="63">
    <w:p w14:paraId="1ACB2DEC" w14:textId="27DF1882" w:rsidR="009C3EAC" w:rsidRDefault="009C3EAC" w:rsidP="00A961AF">
      <w:pPr>
        <w:pStyle w:val="FootnoteNiall"/>
      </w:pPr>
      <w:r>
        <w:rPr>
          <w:rStyle w:val="FootnoteReference"/>
        </w:rPr>
        <w:footnoteRef/>
      </w:r>
      <w:r>
        <w:t xml:space="preserve"> </w:t>
      </w:r>
      <w:r w:rsidR="00A961AF">
        <w:t xml:space="preserve">MLA (2019); </w:t>
      </w:r>
      <w:r w:rsidR="00A961AF" w:rsidRPr="00A961AF">
        <w:rPr>
          <w:i/>
          <w:iCs/>
        </w:rPr>
        <w:t>Milestone report: Feasibility study for developing an Indigenous branded range of beef products and services (Producer Innovation Fast-track)</w:t>
      </w:r>
      <w:r w:rsidR="00A961AF" w:rsidRPr="00A961AF">
        <w:t>;</w:t>
      </w:r>
      <w:r w:rsidR="00A961AF">
        <w:t xml:space="preserve"> </w:t>
      </w:r>
      <w:r w:rsidRPr="00C958EB">
        <w:t>https://www.mla.com.au/contentassets/d01f58d2534547c3a1584dd15d5f68a7/p.psh.0882-final-report.pdf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3FDFB" w14:textId="78008E46" w:rsidR="009C3EAC" w:rsidRDefault="009C3EAC">
    <w:pPr>
      <w:pStyle w:val="Header"/>
    </w:pPr>
  </w:p>
  <w:p w14:paraId="1EA6E49C" w14:textId="77777777" w:rsidR="009C3EAC" w:rsidRDefault="009C3E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6B78" w14:textId="77777777" w:rsidR="009C3EAC" w:rsidRDefault="009C3E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74FE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D6B63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8EF4B29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990946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5EEAA74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7C5A167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76525A"/>
    <w:multiLevelType w:val="hybridMultilevel"/>
    <w:tmpl w:val="6B88D342"/>
    <w:lvl w:ilvl="0" w:tplc="F286864A">
      <w:start w:val="1"/>
      <w:numFmt w:val="bullet"/>
      <w:pStyle w:val="ListBullet3"/>
      <w:lvlText w:val=""/>
      <w:lvlJc w:val="left"/>
      <w:pPr>
        <w:ind w:left="720" w:hanging="360"/>
      </w:pPr>
      <w:rPr>
        <w:rFonts w:ascii="Symbol" w:hAnsi="Symbol" w:hint="default"/>
      </w:rPr>
    </w:lvl>
    <w:lvl w:ilvl="1" w:tplc="0BB0C5BC">
      <w:start w:val="1"/>
      <w:numFmt w:val="bullet"/>
      <w:pStyle w:val="Sub-Bullet"/>
      <w:lvlText w:val="o"/>
      <w:lvlJc w:val="left"/>
      <w:pPr>
        <w:ind w:left="1440" w:hanging="360"/>
      </w:pPr>
      <w:rPr>
        <w:rFonts w:ascii="Courier New" w:hAnsi="Courier New" w:cs="Courier New" w:hint="default"/>
      </w:rPr>
    </w:lvl>
    <w:lvl w:ilvl="2" w:tplc="1016742A">
      <w:start w:val="1"/>
      <w:numFmt w:val="bullet"/>
      <w:pStyle w:val="Sub-Sub-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FA761F"/>
    <w:multiLevelType w:val="hybridMultilevel"/>
    <w:tmpl w:val="B3B266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6339A2"/>
    <w:multiLevelType w:val="hybridMultilevel"/>
    <w:tmpl w:val="CA26BABE"/>
    <w:lvl w:ilvl="0" w:tplc="82B60006">
      <w:start w:val="1"/>
      <w:numFmt w:val="bullet"/>
      <w:pStyle w:val="ListBullet2"/>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7F76E5"/>
    <w:multiLevelType w:val="multilevel"/>
    <w:tmpl w:val="517EE3C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6752CC7"/>
    <w:multiLevelType w:val="hybridMultilevel"/>
    <w:tmpl w:val="2FF2A8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330321C"/>
    <w:multiLevelType w:val="hybridMultilevel"/>
    <w:tmpl w:val="13CCEA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DD66F4"/>
    <w:multiLevelType w:val="hybridMultilevel"/>
    <w:tmpl w:val="C9EA9F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635CB6"/>
    <w:multiLevelType w:val="hybridMultilevel"/>
    <w:tmpl w:val="E8D2683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8B77A8"/>
    <w:multiLevelType w:val="hybridMultilevel"/>
    <w:tmpl w:val="44C6EE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C85FAC"/>
    <w:multiLevelType w:val="multilevel"/>
    <w:tmpl w:val="517EE3C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DCC7C8A"/>
    <w:multiLevelType w:val="multilevel"/>
    <w:tmpl w:val="517EE3C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F0F59D9"/>
    <w:multiLevelType w:val="multilevel"/>
    <w:tmpl w:val="60CE1C3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287C7C"/>
    <w:multiLevelType w:val="hybridMultilevel"/>
    <w:tmpl w:val="44C6EE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1423A04"/>
    <w:multiLevelType w:val="multilevel"/>
    <w:tmpl w:val="517EE3C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21E43F0"/>
    <w:multiLevelType w:val="hybridMultilevel"/>
    <w:tmpl w:val="26B8B2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D31C89"/>
    <w:multiLevelType w:val="hybridMultilevel"/>
    <w:tmpl w:val="63BA6DA8"/>
    <w:lvl w:ilvl="0" w:tplc="E6F4D718">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2" w15:restartNumberingAfterBreak="0">
    <w:nsid w:val="456324AA"/>
    <w:multiLevelType w:val="multilevel"/>
    <w:tmpl w:val="517EE3C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6D21E1A"/>
    <w:multiLevelType w:val="hybridMultilevel"/>
    <w:tmpl w:val="F6FCB0FE"/>
    <w:lvl w:ilvl="0" w:tplc="04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9307B33"/>
    <w:multiLevelType w:val="hybridMultilevel"/>
    <w:tmpl w:val="4F549B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A3A6592"/>
    <w:multiLevelType w:val="multilevel"/>
    <w:tmpl w:val="517EE3C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A600343"/>
    <w:multiLevelType w:val="hybridMultilevel"/>
    <w:tmpl w:val="7D6C0A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BD5698"/>
    <w:multiLevelType w:val="hybridMultilevel"/>
    <w:tmpl w:val="B706F2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466363"/>
    <w:multiLevelType w:val="multilevel"/>
    <w:tmpl w:val="7EB0B982"/>
    <w:lvl w:ilvl="0">
      <w:start w:val="1"/>
      <w:numFmt w:val="decimal"/>
      <w:pStyle w:val="Sub-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1130DA5"/>
    <w:multiLevelType w:val="hybridMultilevel"/>
    <w:tmpl w:val="E690C342"/>
    <w:lvl w:ilvl="0" w:tplc="F3246246">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ED626A"/>
    <w:multiLevelType w:val="hybridMultilevel"/>
    <w:tmpl w:val="6B369954"/>
    <w:lvl w:ilvl="0" w:tplc="8DA8FB8E">
      <w:start w:val="1"/>
      <w:numFmt w:val="bullet"/>
      <w:lvlText w:val=""/>
      <w:lvlJc w:val="left"/>
      <w:pPr>
        <w:ind w:left="720" w:hanging="360"/>
      </w:pPr>
      <w:rPr>
        <w:rFonts w:ascii="Symbol" w:hAnsi="Symbol" w:hint="default"/>
      </w:rPr>
    </w:lvl>
    <w:lvl w:ilvl="1" w:tplc="42005BFE">
      <w:start w:val="1"/>
      <w:numFmt w:val="bullet"/>
      <w:lvlText w:val="o"/>
      <w:lvlJc w:val="left"/>
      <w:pPr>
        <w:ind w:left="1440" w:hanging="360"/>
      </w:pPr>
      <w:rPr>
        <w:rFonts w:ascii="Courier New" w:hAnsi="Courier New" w:cs="Courier New" w:hint="default"/>
      </w:rPr>
    </w:lvl>
    <w:lvl w:ilvl="2" w:tplc="ADD8CC00" w:tentative="1">
      <w:start w:val="1"/>
      <w:numFmt w:val="bullet"/>
      <w:lvlText w:val=""/>
      <w:lvlJc w:val="left"/>
      <w:pPr>
        <w:ind w:left="2160" w:hanging="360"/>
      </w:pPr>
      <w:rPr>
        <w:rFonts w:ascii="Wingdings" w:hAnsi="Wingdings" w:hint="default"/>
      </w:rPr>
    </w:lvl>
    <w:lvl w:ilvl="3" w:tplc="AD96F8C8" w:tentative="1">
      <w:start w:val="1"/>
      <w:numFmt w:val="bullet"/>
      <w:lvlText w:val=""/>
      <w:lvlJc w:val="left"/>
      <w:pPr>
        <w:ind w:left="2880" w:hanging="360"/>
      </w:pPr>
      <w:rPr>
        <w:rFonts w:ascii="Symbol" w:hAnsi="Symbol" w:hint="default"/>
      </w:rPr>
    </w:lvl>
    <w:lvl w:ilvl="4" w:tplc="ACE65F56" w:tentative="1">
      <w:start w:val="1"/>
      <w:numFmt w:val="bullet"/>
      <w:lvlText w:val="o"/>
      <w:lvlJc w:val="left"/>
      <w:pPr>
        <w:ind w:left="3600" w:hanging="360"/>
      </w:pPr>
      <w:rPr>
        <w:rFonts w:ascii="Courier New" w:hAnsi="Courier New" w:cs="Courier New" w:hint="default"/>
      </w:rPr>
    </w:lvl>
    <w:lvl w:ilvl="5" w:tplc="F210156C" w:tentative="1">
      <w:start w:val="1"/>
      <w:numFmt w:val="bullet"/>
      <w:lvlText w:val=""/>
      <w:lvlJc w:val="left"/>
      <w:pPr>
        <w:ind w:left="4320" w:hanging="360"/>
      </w:pPr>
      <w:rPr>
        <w:rFonts w:ascii="Wingdings" w:hAnsi="Wingdings" w:hint="default"/>
      </w:rPr>
    </w:lvl>
    <w:lvl w:ilvl="6" w:tplc="4A88A17A" w:tentative="1">
      <w:start w:val="1"/>
      <w:numFmt w:val="bullet"/>
      <w:lvlText w:val=""/>
      <w:lvlJc w:val="left"/>
      <w:pPr>
        <w:ind w:left="5040" w:hanging="360"/>
      </w:pPr>
      <w:rPr>
        <w:rFonts w:ascii="Symbol" w:hAnsi="Symbol" w:hint="default"/>
      </w:rPr>
    </w:lvl>
    <w:lvl w:ilvl="7" w:tplc="5B5C3F70" w:tentative="1">
      <w:start w:val="1"/>
      <w:numFmt w:val="bullet"/>
      <w:lvlText w:val="o"/>
      <w:lvlJc w:val="left"/>
      <w:pPr>
        <w:ind w:left="5760" w:hanging="360"/>
      </w:pPr>
      <w:rPr>
        <w:rFonts w:ascii="Courier New" w:hAnsi="Courier New" w:cs="Courier New" w:hint="default"/>
      </w:rPr>
    </w:lvl>
    <w:lvl w:ilvl="8" w:tplc="1E645ED8" w:tentative="1">
      <w:start w:val="1"/>
      <w:numFmt w:val="bullet"/>
      <w:lvlText w:val=""/>
      <w:lvlJc w:val="left"/>
      <w:pPr>
        <w:ind w:left="6480" w:hanging="360"/>
      </w:pPr>
      <w:rPr>
        <w:rFonts w:ascii="Wingdings" w:hAnsi="Wingdings" w:hint="default"/>
      </w:rPr>
    </w:lvl>
  </w:abstractNum>
  <w:abstractNum w:abstractNumId="31" w15:restartNumberingAfterBreak="0">
    <w:nsid w:val="5906099D"/>
    <w:multiLevelType w:val="hybridMultilevel"/>
    <w:tmpl w:val="5942A376"/>
    <w:lvl w:ilvl="0" w:tplc="5E6231BE">
      <w:start w:val="1"/>
      <w:numFmt w:val="decimal"/>
      <w:pStyle w:val="APPENDICES"/>
      <w:lvlText w:val="APPENDIX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A472BB9"/>
    <w:multiLevelType w:val="hybridMultilevel"/>
    <w:tmpl w:val="2D2695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AE555F3"/>
    <w:multiLevelType w:val="multilevel"/>
    <w:tmpl w:val="345C1BF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8F3B04"/>
    <w:multiLevelType w:val="multilevel"/>
    <w:tmpl w:val="BE78A4F8"/>
    <w:styleLink w:val="Numberlist"/>
    <w:lvl w:ilvl="0">
      <w:start w:val="1"/>
      <w:numFmt w:val="decimal"/>
      <w:pStyle w:val="ListNumber"/>
      <w:lvlText w:val="%1)"/>
      <w:lvlJc w:val="left"/>
      <w:pPr>
        <w:ind w:left="1307" w:hanging="425"/>
      </w:pPr>
      <w:rPr>
        <w:rFonts w:hint="default"/>
        <w:color w:val="auto"/>
      </w:rPr>
    </w:lvl>
    <w:lvl w:ilvl="1">
      <w:start w:val="1"/>
      <w:numFmt w:val="lowerLetter"/>
      <w:pStyle w:val="ListNumber2"/>
      <w:lvlText w:val="%2)"/>
      <w:lvlJc w:val="left"/>
      <w:pPr>
        <w:ind w:left="1733" w:hanging="426"/>
      </w:pPr>
      <w:rPr>
        <w:rFonts w:hint="default"/>
      </w:rPr>
    </w:lvl>
    <w:lvl w:ilvl="2">
      <w:start w:val="1"/>
      <w:numFmt w:val="lowerRoman"/>
      <w:pStyle w:val="ListNumber3"/>
      <w:lvlText w:val="%3)"/>
      <w:lvlJc w:val="left"/>
      <w:pPr>
        <w:ind w:left="2073" w:hanging="340"/>
      </w:pPr>
      <w:rPr>
        <w:rFonts w:hint="default"/>
      </w:rPr>
    </w:lvl>
    <w:lvl w:ilvl="3">
      <w:start w:val="1"/>
      <w:numFmt w:val="decimal"/>
      <w:lvlText w:val="%4."/>
      <w:lvlJc w:val="left"/>
      <w:pPr>
        <w:ind w:left="2158" w:hanging="1276"/>
      </w:pPr>
      <w:rPr>
        <w:rFonts w:hint="default"/>
      </w:rPr>
    </w:lvl>
    <w:lvl w:ilvl="4">
      <w:start w:val="1"/>
      <w:numFmt w:val="lowerLetter"/>
      <w:lvlText w:val="%5."/>
      <w:lvlJc w:val="left"/>
      <w:pPr>
        <w:ind w:left="1449" w:hanging="567"/>
      </w:pPr>
      <w:rPr>
        <w:rFonts w:hint="default"/>
      </w:rPr>
    </w:lvl>
    <w:lvl w:ilvl="5">
      <w:start w:val="1"/>
      <w:numFmt w:val="lowerRoman"/>
      <w:lvlText w:val="%6."/>
      <w:lvlJc w:val="right"/>
      <w:pPr>
        <w:ind w:left="1449" w:hanging="567"/>
      </w:pPr>
      <w:rPr>
        <w:rFonts w:hint="default"/>
      </w:rPr>
    </w:lvl>
    <w:lvl w:ilvl="6">
      <w:start w:val="1"/>
      <w:numFmt w:val="decimal"/>
      <w:lvlText w:val="%7."/>
      <w:lvlJc w:val="left"/>
      <w:pPr>
        <w:ind w:left="1449" w:hanging="567"/>
      </w:pPr>
      <w:rPr>
        <w:rFonts w:hint="default"/>
      </w:rPr>
    </w:lvl>
    <w:lvl w:ilvl="7">
      <w:start w:val="1"/>
      <w:numFmt w:val="lowerLetter"/>
      <w:lvlText w:val="%8."/>
      <w:lvlJc w:val="left"/>
      <w:pPr>
        <w:ind w:left="1449" w:hanging="567"/>
      </w:pPr>
      <w:rPr>
        <w:rFonts w:hint="default"/>
      </w:rPr>
    </w:lvl>
    <w:lvl w:ilvl="8">
      <w:start w:val="1"/>
      <w:numFmt w:val="lowerRoman"/>
      <w:lvlText w:val="%9."/>
      <w:lvlJc w:val="right"/>
      <w:pPr>
        <w:ind w:left="1449" w:hanging="567"/>
      </w:pPr>
      <w:rPr>
        <w:rFonts w:hint="default"/>
      </w:rPr>
    </w:lvl>
  </w:abstractNum>
  <w:abstractNum w:abstractNumId="35" w15:restartNumberingAfterBreak="0">
    <w:nsid w:val="5EE7021A"/>
    <w:multiLevelType w:val="multilevel"/>
    <w:tmpl w:val="517EE3C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341614B"/>
    <w:multiLevelType w:val="hybridMultilevel"/>
    <w:tmpl w:val="A26EECE6"/>
    <w:lvl w:ilvl="0" w:tplc="E0502198">
      <w:start w:val="1"/>
      <w:numFmt w:val="decimal"/>
      <w:pStyle w:val="NumberedList"/>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7B536589"/>
    <w:multiLevelType w:val="multilevel"/>
    <w:tmpl w:val="517EE3C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D974BFE"/>
    <w:multiLevelType w:val="hybridMultilevel"/>
    <w:tmpl w:val="0D3AC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4890533">
    <w:abstractNumId w:val="29"/>
  </w:num>
  <w:num w:numId="2" w16cid:durableId="1648975340">
    <w:abstractNumId w:val="6"/>
  </w:num>
  <w:num w:numId="3" w16cid:durableId="713235319">
    <w:abstractNumId w:val="8"/>
  </w:num>
  <w:num w:numId="4" w16cid:durableId="2137333995">
    <w:abstractNumId w:val="29"/>
  </w:num>
  <w:num w:numId="5" w16cid:durableId="1057123421">
    <w:abstractNumId w:val="8"/>
  </w:num>
  <w:num w:numId="6" w16cid:durableId="149833542">
    <w:abstractNumId w:val="36"/>
  </w:num>
  <w:num w:numId="7" w16cid:durableId="648173944">
    <w:abstractNumId w:val="31"/>
  </w:num>
  <w:num w:numId="8" w16cid:durableId="276452223">
    <w:abstractNumId w:val="28"/>
  </w:num>
  <w:num w:numId="9" w16cid:durableId="263611154">
    <w:abstractNumId w:val="6"/>
  </w:num>
  <w:num w:numId="10" w16cid:durableId="824052018">
    <w:abstractNumId w:val="30"/>
  </w:num>
  <w:num w:numId="11" w16cid:durableId="627777644">
    <w:abstractNumId w:val="27"/>
  </w:num>
  <w:num w:numId="12" w16cid:durableId="255940207">
    <w:abstractNumId w:val="32"/>
  </w:num>
  <w:num w:numId="13" w16cid:durableId="1548099840">
    <w:abstractNumId w:val="24"/>
  </w:num>
  <w:num w:numId="14" w16cid:durableId="927226836">
    <w:abstractNumId w:val="7"/>
  </w:num>
  <w:num w:numId="15" w16cid:durableId="488903984">
    <w:abstractNumId w:val="25"/>
  </w:num>
  <w:num w:numId="16" w16cid:durableId="8433941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6180984">
    <w:abstractNumId w:val="13"/>
  </w:num>
  <w:num w:numId="18" w16cid:durableId="229079333">
    <w:abstractNumId w:val="35"/>
  </w:num>
  <w:num w:numId="19" w16cid:durableId="422456788">
    <w:abstractNumId w:val="15"/>
  </w:num>
  <w:num w:numId="20" w16cid:durableId="905451574">
    <w:abstractNumId w:val="22"/>
  </w:num>
  <w:num w:numId="21" w16cid:durableId="1537422817">
    <w:abstractNumId w:val="26"/>
  </w:num>
  <w:num w:numId="22" w16cid:durableId="1043215335">
    <w:abstractNumId w:val="37"/>
  </w:num>
  <w:num w:numId="23" w16cid:durableId="434986568">
    <w:abstractNumId w:val="18"/>
  </w:num>
  <w:num w:numId="24" w16cid:durableId="1381245240">
    <w:abstractNumId w:val="9"/>
  </w:num>
  <w:num w:numId="25" w16cid:durableId="1097944365">
    <w:abstractNumId w:val="19"/>
  </w:num>
  <w:num w:numId="26" w16cid:durableId="1423919315">
    <w:abstractNumId w:val="34"/>
  </w:num>
  <w:num w:numId="27" w16cid:durableId="11374562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5058263">
    <w:abstractNumId w:val="14"/>
  </w:num>
  <w:num w:numId="29" w16cid:durableId="50007781">
    <w:abstractNumId w:val="23"/>
  </w:num>
  <w:num w:numId="30" w16cid:durableId="1552032266">
    <w:abstractNumId w:val="3"/>
  </w:num>
  <w:num w:numId="31" w16cid:durableId="855924976">
    <w:abstractNumId w:val="2"/>
  </w:num>
  <w:num w:numId="32" w16cid:durableId="1827890352">
    <w:abstractNumId w:val="1"/>
  </w:num>
  <w:num w:numId="33" w16cid:durableId="979722632">
    <w:abstractNumId w:val="0"/>
  </w:num>
  <w:num w:numId="34" w16cid:durableId="225386354">
    <w:abstractNumId w:val="21"/>
  </w:num>
  <w:num w:numId="35" w16cid:durableId="2136635104">
    <w:abstractNumId w:val="10"/>
  </w:num>
  <w:num w:numId="36" w16cid:durableId="1050229142">
    <w:abstractNumId w:val="5"/>
  </w:num>
  <w:num w:numId="37" w16cid:durableId="583301376">
    <w:abstractNumId w:val="4"/>
  </w:num>
  <w:num w:numId="38" w16cid:durableId="367796530">
    <w:abstractNumId w:val="20"/>
  </w:num>
  <w:num w:numId="39" w16cid:durableId="840125819">
    <w:abstractNumId w:val="12"/>
  </w:num>
  <w:num w:numId="40" w16cid:durableId="1620336075">
    <w:abstractNumId w:val="17"/>
  </w:num>
  <w:num w:numId="41" w16cid:durableId="805389192">
    <w:abstractNumId w:val="33"/>
  </w:num>
  <w:num w:numId="42" w16cid:durableId="1579292206">
    <w:abstractNumId w:val="38"/>
  </w:num>
  <w:num w:numId="43" w16cid:durableId="1607032812">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D5"/>
    <w:rsid w:val="0000180B"/>
    <w:rsid w:val="000021B4"/>
    <w:rsid w:val="000027EE"/>
    <w:rsid w:val="00002A75"/>
    <w:rsid w:val="00004333"/>
    <w:rsid w:val="00005C93"/>
    <w:rsid w:val="00006036"/>
    <w:rsid w:val="00010103"/>
    <w:rsid w:val="00010ED1"/>
    <w:rsid w:val="000125B6"/>
    <w:rsid w:val="00012FED"/>
    <w:rsid w:val="0001337E"/>
    <w:rsid w:val="0001425F"/>
    <w:rsid w:val="0001662B"/>
    <w:rsid w:val="00016C1D"/>
    <w:rsid w:val="00016D90"/>
    <w:rsid w:val="00017442"/>
    <w:rsid w:val="00017C54"/>
    <w:rsid w:val="00017CD5"/>
    <w:rsid w:val="00020510"/>
    <w:rsid w:val="00020891"/>
    <w:rsid w:val="00020C39"/>
    <w:rsid w:val="00021D7B"/>
    <w:rsid w:val="0002296C"/>
    <w:rsid w:val="00022D18"/>
    <w:rsid w:val="00023C9A"/>
    <w:rsid w:val="00024A07"/>
    <w:rsid w:val="00026430"/>
    <w:rsid w:val="000265EE"/>
    <w:rsid w:val="00026665"/>
    <w:rsid w:val="00026A10"/>
    <w:rsid w:val="00027AED"/>
    <w:rsid w:val="000303E4"/>
    <w:rsid w:val="00031309"/>
    <w:rsid w:val="0003130C"/>
    <w:rsid w:val="00031CE0"/>
    <w:rsid w:val="00032742"/>
    <w:rsid w:val="00034DEE"/>
    <w:rsid w:val="000351D6"/>
    <w:rsid w:val="00035216"/>
    <w:rsid w:val="0003529C"/>
    <w:rsid w:val="000355EA"/>
    <w:rsid w:val="00035839"/>
    <w:rsid w:val="00036F67"/>
    <w:rsid w:val="0004084B"/>
    <w:rsid w:val="0004198E"/>
    <w:rsid w:val="00042E23"/>
    <w:rsid w:val="00043A2B"/>
    <w:rsid w:val="000440B2"/>
    <w:rsid w:val="000443D5"/>
    <w:rsid w:val="00044E83"/>
    <w:rsid w:val="00045370"/>
    <w:rsid w:val="00046A1E"/>
    <w:rsid w:val="0004724C"/>
    <w:rsid w:val="00047B82"/>
    <w:rsid w:val="000500A1"/>
    <w:rsid w:val="0005030A"/>
    <w:rsid w:val="0005089D"/>
    <w:rsid w:val="00050C1A"/>
    <w:rsid w:val="0005134E"/>
    <w:rsid w:val="00052C3D"/>
    <w:rsid w:val="000531DD"/>
    <w:rsid w:val="00055745"/>
    <w:rsid w:val="00055B22"/>
    <w:rsid w:val="00055BE4"/>
    <w:rsid w:val="00057647"/>
    <w:rsid w:val="00060897"/>
    <w:rsid w:val="0006152B"/>
    <w:rsid w:val="00061A99"/>
    <w:rsid w:val="00061E0F"/>
    <w:rsid w:val="00062D07"/>
    <w:rsid w:val="00062F95"/>
    <w:rsid w:val="000632EE"/>
    <w:rsid w:val="00064301"/>
    <w:rsid w:val="0006469D"/>
    <w:rsid w:val="0006485E"/>
    <w:rsid w:val="00065718"/>
    <w:rsid w:val="000662D0"/>
    <w:rsid w:val="00066CBF"/>
    <w:rsid w:val="0006797A"/>
    <w:rsid w:val="00067EDD"/>
    <w:rsid w:val="0007114F"/>
    <w:rsid w:val="00071A36"/>
    <w:rsid w:val="000720A1"/>
    <w:rsid w:val="00072643"/>
    <w:rsid w:val="0007374D"/>
    <w:rsid w:val="00075EA7"/>
    <w:rsid w:val="000768BF"/>
    <w:rsid w:val="00077002"/>
    <w:rsid w:val="0007713D"/>
    <w:rsid w:val="000777D8"/>
    <w:rsid w:val="00080A10"/>
    <w:rsid w:val="00080B97"/>
    <w:rsid w:val="00081FF3"/>
    <w:rsid w:val="00082462"/>
    <w:rsid w:val="0008262D"/>
    <w:rsid w:val="0008282A"/>
    <w:rsid w:val="000828D6"/>
    <w:rsid w:val="000832A0"/>
    <w:rsid w:val="00083E53"/>
    <w:rsid w:val="00086820"/>
    <w:rsid w:val="00086E2F"/>
    <w:rsid w:val="00086F4E"/>
    <w:rsid w:val="0008771A"/>
    <w:rsid w:val="0009076B"/>
    <w:rsid w:val="00090E88"/>
    <w:rsid w:val="00091115"/>
    <w:rsid w:val="000912F5"/>
    <w:rsid w:val="000924F8"/>
    <w:rsid w:val="00092A62"/>
    <w:rsid w:val="00094766"/>
    <w:rsid w:val="00094C92"/>
    <w:rsid w:val="000950EC"/>
    <w:rsid w:val="00095C45"/>
    <w:rsid w:val="00096457"/>
    <w:rsid w:val="000966CF"/>
    <w:rsid w:val="00097301"/>
    <w:rsid w:val="00097652"/>
    <w:rsid w:val="000A0477"/>
    <w:rsid w:val="000A08BF"/>
    <w:rsid w:val="000A09CF"/>
    <w:rsid w:val="000A1AD1"/>
    <w:rsid w:val="000A2438"/>
    <w:rsid w:val="000A4CF9"/>
    <w:rsid w:val="000A50F9"/>
    <w:rsid w:val="000A522A"/>
    <w:rsid w:val="000A6141"/>
    <w:rsid w:val="000A6BFD"/>
    <w:rsid w:val="000A6F2C"/>
    <w:rsid w:val="000B03D5"/>
    <w:rsid w:val="000B0E52"/>
    <w:rsid w:val="000B1294"/>
    <w:rsid w:val="000B2029"/>
    <w:rsid w:val="000B302F"/>
    <w:rsid w:val="000B3128"/>
    <w:rsid w:val="000B3766"/>
    <w:rsid w:val="000B3B75"/>
    <w:rsid w:val="000B4D9F"/>
    <w:rsid w:val="000B51BA"/>
    <w:rsid w:val="000B5220"/>
    <w:rsid w:val="000B6090"/>
    <w:rsid w:val="000B6F68"/>
    <w:rsid w:val="000B76B8"/>
    <w:rsid w:val="000C0128"/>
    <w:rsid w:val="000C0BC2"/>
    <w:rsid w:val="000C389D"/>
    <w:rsid w:val="000C420E"/>
    <w:rsid w:val="000C48A7"/>
    <w:rsid w:val="000C5369"/>
    <w:rsid w:val="000C54B8"/>
    <w:rsid w:val="000C584E"/>
    <w:rsid w:val="000C6971"/>
    <w:rsid w:val="000C6C7D"/>
    <w:rsid w:val="000C71CB"/>
    <w:rsid w:val="000D22AA"/>
    <w:rsid w:val="000D26F9"/>
    <w:rsid w:val="000D27EA"/>
    <w:rsid w:val="000D2ABA"/>
    <w:rsid w:val="000D4B35"/>
    <w:rsid w:val="000D58E0"/>
    <w:rsid w:val="000D5998"/>
    <w:rsid w:val="000D5AB8"/>
    <w:rsid w:val="000D6301"/>
    <w:rsid w:val="000D7782"/>
    <w:rsid w:val="000E0044"/>
    <w:rsid w:val="000E093A"/>
    <w:rsid w:val="000E3403"/>
    <w:rsid w:val="000E36A8"/>
    <w:rsid w:val="000E3AF6"/>
    <w:rsid w:val="000E3CB2"/>
    <w:rsid w:val="000E3E80"/>
    <w:rsid w:val="000E438E"/>
    <w:rsid w:val="000E4CD3"/>
    <w:rsid w:val="000E5566"/>
    <w:rsid w:val="000E5945"/>
    <w:rsid w:val="000E5AB4"/>
    <w:rsid w:val="000E74A1"/>
    <w:rsid w:val="000F0929"/>
    <w:rsid w:val="000F0971"/>
    <w:rsid w:val="000F0D77"/>
    <w:rsid w:val="000F11D3"/>
    <w:rsid w:val="000F3D7E"/>
    <w:rsid w:val="000F402E"/>
    <w:rsid w:val="000F6CA3"/>
    <w:rsid w:val="000F6D09"/>
    <w:rsid w:val="000F7DB6"/>
    <w:rsid w:val="001006D6"/>
    <w:rsid w:val="00100E18"/>
    <w:rsid w:val="00100E41"/>
    <w:rsid w:val="0010111F"/>
    <w:rsid w:val="001025A8"/>
    <w:rsid w:val="0010279E"/>
    <w:rsid w:val="00102912"/>
    <w:rsid w:val="001034CE"/>
    <w:rsid w:val="00103DE4"/>
    <w:rsid w:val="00103E81"/>
    <w:rsid w:val="001044E2"/>
    <w:rsid w:val="0010496F"/>
    <w:rsid w:val="00104D4E"/>
    <w:rsid w:val="00105603"/>
    <w:rsid w:val="00106597"/>
    <w:rsid w:val="00107029"/>
    <w:rsid w:val="00107D91"/>
    <w:rsid w:val="001111EE"/>
    <w:rsid w:val="00111DE1"/>
    <w:rsid w:val="00112DDC"/>
    <w:rsid w:val="00115368"/>
    <w:rsid w:val="0011556F"/>
    <w:rsid w:val="001160FA"/>
    <w:rsid w:val="00116305"/>
    <w:rsid w:val="001167CB"/>
    <w:rsid w:val="00116C33"/>
    <w:rsid w:val="00117517"/>
    <w:rsid w:val="00121C17"/>
    <w:rsid w:val="0012248B"/>
    <w:rsid w:val="00122679"/>
    <w:rsid w:val="00122DDF"/>
    <w:rsid w:val="001244A0"/>
    <w:rsid w:val="0012516C"/>
    <w:rsid w:val="001257E7"/>
    <w:rsid w:val="00125EE0"/>
    <w:rsid w:val="001263D8"/>
    <w:rsid w:val="00126F93"/>
    <w:rsid w:val="00131667"/>
    <w:rsid w:val="001326D0"/>
    <w:rsid w:val="00132CF2"/>
    <w:rsid w:val="0013363A"/>
    <w:rsid w:val="001337C9"/>
    <w:rsid w:val="0013381B"/>
    <w:rsid w:val="00133A8F"/>
    <w:rsid w:val="001348BF"/>
    <w:rsid w:val="00134D1E"/>
    <w:rsid w:val="00134E41"/>
    <w:rsid w:val="00135B48"/>
    <w:rsid w:val="001367FE"/>
    <w:rsid w:val="00136A58"/>
    <w:rsid w:val="00136B60"/>
    <w:rsid w:val="00137780"/>
    <w:rsid w:val="0014032A"/>
    <w:rsid w:val="00140A6E"/>
    <w:rsid w:val="00141BE6"/>
    <w:rsid w:val="00141CB0"/>
    <w:rsid w:val="00142E91"/>
    <w:rsid w:val="00142EE5"/>
    <w:rsid w:val="001433E6"/>
    <w:rsid w:val="00143564"/>
    <w:rsid w:val="001439F8"/>
    <w:rsid w:val="00144C29"/>
    <w:rsid w:val="00145416"/>
    <w:rsid w:val="00145C97"/>
    <w:rsid w:val="0014664E"/>
    <w:rsid w:val="00150B04"/>
    <w:rsid w:val="00150F1D"/>
    <w:rsid w:val="0015114C"/>
    <w:rsid w:val="001515AA"/>
    <w:rsid w:val="00153A16"/>
    <w:rsid w:val="00154411"/>
    <w:rsid w:val="001547E0"/>
    <w:rsid w:val="00154DED"/>
    <w:rsid w:val="0015562C"/>
    <w:rsid w:val="00157CE6"/>
    <w:rsid w:val="00160688"/>
    <w:rsid w:val="0016194E"/>
    <w:rsid w:val="00164CE8"/>
    <w:rsid w:val="00165693"/>
    <w:rsid w:val="001660E3"/>
    <w:rsid w:val="001666D8"/>
    <w:rsid w:val="00166D22"/>
    <w:rsid w:val="00166EBC"/>
    <w:rsid w:val="0017049E"/>
    <w:rsid w:val="001707BA"/>
    <w:rsid w:val="001717F4"/>
    <w:rsid w:val="00171CA4"/>
    <w:rsid w:val="00173DD6"/>
    <w:rsid w:val="00174676"/>
    <w:rsid w:val="00174B4D"/>
    <w:rsid w:val="00177DE9"/>
    <w:rsid w:val="00180015"/>
    <w:rsid w:val="00180552"/>
    <w:rsid w:val="00181796"/>
    <w:rsid w:val="00181A71"/>
    <w:rsid w:val="00181A9F"/>
    <w:rsid w:val="00181B84"/>
    <w:rsid w:val="00181F89"/>
    <w:rsid w:val="00183CEF"/>
    <w:rsid w:val="001847E9"/>
    <w:rsid w:val="001853C2"/>
    <w:rsid w:val="00185685"/>
    <w:rsid w:val="00185919"/>
    <w:rsid w:val="001907D9"/>
    <w:rsid w:val="00191418"/>
    <w:rsid w:val="00191D4E"/>
    <w:rsid w:val="00192117"/>
    <w:rsid w:val="0019375F"/>
    <w:rsid w:val="00195E21"/>
    <w:rsid w:val="00196FC5"/>
    <w:rsid w:val="001A1146"/>
    <w:rsid w:val="001A11E6"/>
    <w:rsid w:val="001A13F1"/>
    <w:rsid w:val="001A2A48"/>
    <w:rsid w:val="001A4DEF"/>
    <w:rsid w:val="001A6165"/>
    <w:rsid w:val="001A69C0"/>
    <w:rsid w:val="001B1346"/>
    <w:rsid w:val="001B1592"/>
    <w:rsid w:val="001B217B"/>
    <w:rsid w:val="001B29AF"/>
    <w:rsid w:val="001B2E1C"/>
    <w:rsid w:val="001B36D7"/>
    <w:rsid w:val="001B3A74"/>
    <w:rsid w:val="001B3E52"/>
    <w:rsid w:val="001B795C"/>
    <w:rsid w:val="001C0391"/>
    <w:rsid w:val="001C087A"/>
    <w:rsid w:val="001C1AAE"/>
    <w:rsid w:val="001C3627"/>
    <w:rsid w:val="001C51ED"/>
    <w:rsid w:val="001C6A05"/>
    <w:rsid w:val="001C6A65"/>
    <w:rsid w:val="001C6E26"/>
    <w:rsid w:val="001C7BAA"/>
    <w:rsid w:val="001D0E9E"/>
    <w:rsid w:val="001D100A"/>
    <w:rsid w:val="001D404A"/>
    <w:rsid w:val="001D5700"/>
    <w:rsid w:val="001D650D"/>
    <w:rsid w:val="001D6C53"/>
    <w:rsid w:val="001D76F0"/>
    <w:rsid w:val="001D7EE0"/>
    <w:rsid w:val="001E015A"/>
    <w:rsid w:val="001E038A"/>
    <w:rsid w:val="001E03F6"/>
    <w:rsid w:val="001E1522"/>
    <w:rsid w:val="001E1B49"/>
    <w:rsid w:val="001E3F85"/>
    <w:rsid w:val="001E48CC"/>
    <w:rsid w:val="001E4AC5"/>
    <w:rsid w:val="001E5164"/>
    <w:rsid w:val="001E5A88"/>
    <w:rsid w:val="001E5E7E"/>
    <w:rsid w:val="001E63E7"/>
    <w:rsid w:val="001E6CF2"/>
    <w:rsid w:val="001F3468"/>
    <w:rsid w:val="001F3D31"/>
    <w:rsid w:val="001F4099"/>
    <w:rsid w:val="001F43C2"/>
    <w:rsid w:val="001F4ABF"/>
    <w:rsid w:val="001F6406"/>
    <w:rsid w:val="00200842"/>
    <w:rsid w:val="00200957"/>
    <w:rsid w:val="0020155E"/>
    <w:rsid w:val="00201BB7"/>
    <w:rsid w:val="00203895"/>
    <w:rsid w:val="00203C69"/>
    <w:rsid w:val="002053A3"/>
    <w:rsid w:val="00206BB5"/>
    <w:rsid w:val="00206E54"/>
    <w:rsid w:val="0021125A"/>
    <w:rsid w:val="0021222D"/>
    <w:rsid w:val="002122A9"/>
    <w:rsid w:val="00212E56"/>
    <w:rsid w:val="00213754"/>
    <w:rsid w:val="00214197"/>
    <w:rsid w:val="002155E8"/>
    <w:rsid w:val="002156BC"/>
    <w:rsid w:val="00215FBB"/>
    <w:rsid w:val="00220C51"/>
    <w:rsid w:val="00221786"/>
    <w:rsid w:val="002218C5"/>
    <w:rsid w:val="002219C4"/>
    <w:rsid w:val="002219E1"/>
    <w:rsid w:val="00222DEA"/>
    <w:rsid w:val="00222FE9"/>
    <w:rsid w:val="002233EA"/>
    <w:rsid w:val="0022488F"/>
    <w:rsid w:val="002248C2"/>
    <w:rsid w:val="00224BA0"/>
    <w:rsid w:val="00224E2E"/>
    <w:rsid w:val="0022568D"/>
    <w:rsid w:val="0022650E"/>
    <w:rsid w:val="00227F7F"/>
    <w:rsid w:val="00230B0A"/>
    <w:rsid w:val="00230CAC"/>
    <w:rsid w:val="00230E99"/>
    <w:rsid w:val="00230EDF"/>
    <w:rsid w:val="002317C1"/>
    <w:rsid w:val="00231B87"/>
    <w:rsid w:val="00234601"/>
    <w:rsid w:val="00234ABD"/>
    <w:rsid w:val="0023567C"/>
    <w:rsid w:val="0023667E"/>
    <w:rsid w:val="00236CD6"/>
    <w:rsid w:val="0023791C"/>
    <w:rsid w:val="00237C2E"/>
    <w:rsid w:val="002410B9"/>
    <w:rsid w:val="002419F5"/>
    <w:rsid w:val="00241D6F"/>
    <w:rsid w:val="00244168"/>
    <w:rsid w:val="002441B2"/>
    <w:rsid w:val="002443FD"/>
    <w:rsid w:val="00245008"/>
    <w:rsid w:val="00246BEF"/>
    <w:rsid w:val="0024701B"/>
    <w:rsid w:val="00247A89"/>
    <w:rsid w:val="002500F7"/>
    <w:rsid w:val="00250342"/>
    <w:rsid w:val="00253467"/>
    <w:rsid w:val="002539E4"/>
    <w:rsid w:val="00253C13"/>
    <w:rsid w:val="00256600"/>
    <w:rsid w:val="00256902"/>
    <w:rsid w:val="00256FDD"/>
    <w:rsid w:val="002618A4"/>
    <w:rsid w:val="00262A20"/>
    <w:rsid w:val="00262A36"/>
    <w:rsid w:val="0026316F"/>
    <w:rsid w:val="0026317A"/>
    <w:rsid w:val="00266172"/>
    <w:rsid w:val="00266994"/>
    <w:rsid w:val="002676D9"/>
    <w:rsid w:val="00267EAB"/>
    <w:rsid w:val="00270359"/>
    <w:rsid w:val="00270688"/>
    <w:rsid w:val="00270B9C"/>
    <w:rsid w:val="00271C73"/>
    <w:rsid w:val="00272D16"/>
    <w:rsid w:val="00273185"/>
    <w:rsid w:val="00273496"/>
    <w:rsid w:val="00275211"/>
    <w:rsid w:val="00275761"/>
    <w:rsid w:val="00275896"/>
    <w:rsid w:val="00275CE5"/>
    <w:rsid w:val="00276312"/>
    <w:rsid w:val="0027637A"/>
    <w:rsid w:val="0027767A"/>
    <w:rsid w:val="00277A11"/>
    <w:rsid w:val="00277E4E"/>
    <w:rsid w:val="00277ED7"/>
    <w:rsid w:val="00281EEE"/>
    <w:rsid w:val="00282AF7"/>
    <w:rsid w:val="00283656"/>
    <w:rsid w:val="0028722F"/>
    <w:rsid w:val="0029021D"/>
    <w:rsid w:val="00291346"/>
    <w:rsid w:val="00294ECF"/>
    <w:rsid w:val="00295A9B"/>
    <w:rsid w:val="00297AC5"/>
    <w:rsid w:val="00297DA5"/>
    <w:rsid w:val="002A043B"/>
    <w:rsid w:val="002A2E22"/>
    <w:rsid w:val="002A36B3"/>
    <w:rsid w:val="002A45A8"/>
    <w:rsid w:val="002A513A"/>
    <w:rsid w:val="002A51DF"/>
    <w:rsid w:val="002A67A9"/>
    <w:rsid w:val="002A7258"/>
    <w:rsid w:val="002A7835"/>
    <w:rsid w:val="002B1163"/>
    <w:rsid w:val="002B3899"/>
    <w:rsid w:val="002B38F5"/>
    <w:rsid w:val="002B52DF"/>
    <w:rsid w:val="002B5656"/>
    <w:rsid w:val="002B5754"/>
    <w:rsid w:val="002B5DF6"/>
    <w:rsid w:val="002B6219"/>
    <w:rsid w:val="002B7260"/>
    <w:rsid w:val="002B77B7"/>
    <w:rsid w:val="002B7CEA"/>
    <w:rsid w:val="002B7F86"/>
    <w:rsid w:val="002C1329"/>
    <w:rsid w:val="002C2344"/>
    <w:rsid w:val="002C3D59"/>
    <w:rsid w:val="002C43DF"/>
    <w:rsid w:val="002C5893"/>
    <w:rsid w:val="002C7EB7"/>
    <w:rsid w:val="002D0505"/>
    <w:rsid w:val="002D09A3"/>
    <w:rsid w:val="002D0D12"/>
    <w:rsid w:val="002D222E"/>
    <w:rsid w:val="002D31CC"/>
    <w:rsid w:val="002D461A"/>
    <w:rsid w:val="002D6DB5"/>
    <w:rsid w:val="002D7CEF"/>
    <w:rsid w:val="002E0DA2"/>
    <w:rsid w:val="002E0FB4"/>
    <w:rsid w:val="002E1D74"/>
    <w:rsid w:val="002E281F"/>
    <w:rsid w:val="002E338B"/>
    <w:rsid w:val="002E3C3B"/>
    <w:rsid w:val="002E4433"/>
    <w:rsid w:val="002E457B"/>
    <w:rsid w:val="002E4ABF"/>
    <w:rsid w:val="002E5007"/>
    <w:rsid w:val="002E5FA7"/>
    <w:rsid w:val="002E6071"/>
    <w:rsid w:val="002E61F9"/>
    <w:rsid w:val="002E7B81"/>
    <w:rsid w:val="002F0B94"/>
    <w:rsid w:val="002F0EA4"/>
    <w:rsid w:val="002F22F3"/>
    <w:rsid w:val="002F348B"/>
    <w:rsid w:val="002F3608"/>
    <w:rsid w:val="002F4158"/>
    <w:rsid w:val="002F41A5"/>
    <w:rsid w:val="002F4A83"/>
    <w:rsid w:val="002F5891"/>
    <w:rsid w:val="002F5B83"/>
    <w:rsid w:val="002F5C34"/>
    <w:rsid w:val="002F6A0E"/>
    <w:rsid w:val="002F6C98"/>
    <w:rsid w:val="002F799C"/>
    <w:rsid w:val="002F7B1C"/>
    <w:rsid w:val="002F7EB4"/>
    <w:rsid w:val="003009B1"/>
    <w:rsid w:val="00300BAC"/>
    <w:rsid w:val="00303D7B"/>
    <w:rsid w:val="0031024C"/>
    <w:rsid w:val="00310DDD"/>
    <w:rsid w:val="00311023"/>
    <w:rsid w:val="00311AF2"/>
    <w:rsid w:val="00311FAE"/>
    <w:rsid w:val="00313A5D"/>
    <w:rsid w:val="00314F88"/>
    <w:rsid w:val="00315028"/>
    <w:rsid w:val="00317F27"/>
    <w:rsid w:val="0032034B"/>
    <w:rsid w:val="003204E6"/>
    <w:rsid w:val="00320AB2"/>
    <w:rsid w:val="00320AC0"/>
    <w:rsid w:val="003218AE"/>
    <w:rsid w:val="00321E4A"/>
    <w:rsid w:val="00323149"/>
    <w:rsid w:val="00325322"/>
    <w:rsid w:val="0032630A"/>
    <w:rsid w:val="003266A2"/>
    <w:rsid w:val="0032692F"/>
    <w:rsid w:val="0032725B"/>
    <w:rsid w:val="003278AA"/>
    <w:rsid w:val="00330475"/>
    <w:rsid w:val="003307B3"/>
    <w:rsid w:val="00330F18"/>
    <w:rsid w:val="00333206"/>
    <w:rsid w:val="00333424"/>
    <w:rsid w:val="003334FD"/>
    <w:rsid w:val="00333937"/>
    <w:rsid w:val="00334B9F"/>
    <w:rsid w:val="00335A84"/>
    <w:rsid w:val="00340516"/>
    <w:rsid w:val="00341316"/>
    <w:rsid w:val="00341385"/>
    <w:rsid w:val="00342D69"/>
    <w:rsid w:val="003437BC"/>
    <w:rsid w:val="0034411F"/>
    <w:rsid w:val="00344E59"/>
    <w:rsid w:val="0034552C"/>
    <w:rsid w:val="00345C64"/>
    <w:rsid w:val="00346CC7"/>
    <w:rsid w:val="00351DB5"/>
    <w:rsid w:val="00352475"/>
    <w:rsid w:val="003538AD"/>
    <w:rsid w:val="00355CE4"/>
    <w:rsid w:val="00356199"/>
    <w:rsid w:val="00356E97"/>
    <w:rsid w:val="003603E5"/>
    <w:rsid w:val="00361755"/>
    <w:rsid w:val="00362157"/>
    <w:rsid w:val="00365174"/>
    <w:rsid w:val="0036691C"/>
    <w:rsid w:val="00367EA0"/>
    <w:rsid w:val="003705A5"/>
    <w:rsid w:val="003719D2"/>
    <w:rsid w:val="003727A2"/>
    <w:rsid w:val="00374E45"/>
    <w:rsid w:val="0037511E"/>
    <w:rsid w:val="0037522C"/>
    <w:rsid w:val="00375CB2"/>
    <w:rsid w:val="00376498"/>
    <w:rsid w:val="00377251"/>
    <w:rsid w:val="00380405"/>
    <w:rsid w:val="00381114"/>
    <w:rsid w:val="00382021"/>
    <w:rsid w:val="003820F9"/>
    <w:rsid w:val="00383157"/>
    <w:rsid w:val="003855FB"/>
    <w:rsid w:val="00392E5A"/>
    <w:rsid w:val="0039366A"/>
    <w:rsid w:val="0039395B"/>
    <w:rsid w:val="00393E7B"/>
    <w:rsid w:val="003948CE"/>
    <w:rsid w:val="003949AE"/>
    <w:rsid w:val="003953A3"/>
    <w:rsid w:val="0039570C"/>
    <w:rsid w:val="00395B4C"/>
    <w:rsid w:val="00395F87"/>
    <w:rsid w:val="0039701F"/>
    <w:rsid w:val="00397815"/>
    <w:rsid w:val="00397FAE"/>
    <w:rsid w:val="003A0A39"/>
    <w:rsid w:val="003A23CF"/>
    <w:rsid w:val="003A29CB"/>
    <w:rsid w:val="003A2F28"/>
    <w:rsid w:val="003A2F84"/>
    <w:rsid w:val="003A3171"/>
    <w:rsid w:val="003A3740"/>
    <w:rsid w:val="003A47A7"/>
    <w:rsid w:val="003A5C16"/>
    <w:rsid w:val="003A652D"/>
    <w:rsid w:val="003A7697"/>
    <w:rsid w:val="003B0109"/>
    <w:rsid w:val="003B04FC"/>
    <w:rsid w:val="003B2CCA"/>
    <w:rsid w:val="003B4FF7"/>
    <w:rsid w:val="003B5CA9"/>
    <w:rsid w:val="003B6BC1"/>
    <w:rsid w:val="003B7828"/>
    <w:rsid w:val="003C1623"/>
    <w:rsid w:val="003C167E"/>
    <w:rsid w:val="003C2133"/>
    <w:rsid w:val="003C2FE0"/>
    <w:rsid w:val="003C3964"/>
    <w:rsid w:val="003C612C"/>
    <w:rsid w:val="003C61DF"/>
    <w:rsid w:val="003C654B"/>
    <w:rsid w:val="003C6B41"/>
    <w:rsid w:val="003C7197"/>
    <w:rsid w:val="003C7472"/>
    <w:rsid w:val="003C7994"/>
    <w:rsid w:val="003D0D37"/>
    <w:rsid w:val="003D0FA2"/>
    <w:rsid w:val="003D14FB"/>
    <w:rsid w:val="003D1CC5"/>
    <w:rsid w:val="003D231C"/>
    <w:rsid w:val="003D2E40"/>
    <w:rsid w:val="003D4880"/>
    <w:rsid w:val="003D49B5"/>
    <w:rsid w:val="003D585B"/>
    <w:rsid w:val="003E043A"/>
    <w:rsid w:val="003E0990"/>
    <w:rsid w:val="003E0D8A"/>
    <w:rsid w:val="003E1590"/>
    <w:rsid w:val="003E166D"/>
    <w:rsid w:val="003E2AD2"/>
    <w:rsid w:val="003E2C2D"/>
    <w:rsid w:val="003E3243"/>
    <w:rsid w:val="003E38A9"/>
    <w:rsid w:val="003E587D"/>
    <w:rsid w:val="003F0267"/>
    <w:rsid w:val="003F20E2"/>
    <w:rsid w:val="003F210A"/>
    <w:rsid w:val="003F2B7C"/>
    <w:rsid w:val="003F3E39"/>
    <w:rsid w:val="003F3E92"/>
    <w:rsid w:val="003F41BE"/>
    <w:rsid w:val="003F4426"/>
    <w:rsid w:val="003F44DD"/>
    <w:rsid w:val="003F4A63"/>
    <w:rsid w:val="003F5509"/>
    <w:rsid w:val="003F5717"/>
    <w:rsid w:val="003F6FA2"/>
    <w:rsid w:val="003F7860"/>
    <w:rsid w:val="00402244"/>
    <w:rsid w:val="00403346"/>
    <w:rsid w:val="0040429F"/>
    <w:rsid w:val="004042F7"/>
    <w:rsid w:val="004043A5"/>
    <w:rsid w:val="00404E5E"/>
    <w:rsid w:val="00405602"/>
    <w:rsid w:val="00406AC4"/>
    <w:rsid w:val="0041006F"/>
    <w:rsid w:val="00410163"/>
    <w:rsid w:val="0041049E"/>
    <w:rsid w:val="00412855"/>
    <w:rsid w:val="00415055"/>
    <w:rsid w:val="004158D3"/>
    <w:rsid w:val="00415E58"/>
    <w:rsid w:val="0041608B"/>
    <w:rsid w:val="00416999"/>
    <w:rsid w:val="00416D08"/>
    <w:rsid w:val="00420079"/>
    <w:rsid w:val="0042024D"/>
    <w:rsid w:val="00422E5B"/>
    <w:rsid w:val="004233D6"/>
    <w:rsid w:val="004237EE"/>
    <w:rsid w:val="00424C91"/>
    <w:rsid w:val="00426CF2"/>
    <w:rsid w:val="004272E7"/>
    <w:rsid w:val="00427539"/>
    <w:rsid w:val="00427618"/>
    <w:rsid w:val="00427756"/>
    <w:rsid w:val="00427D95"/>
    <w:rsid w:val="0043293F"/>
    <w:rsid w:val="00433EED"/>
    <w:rsid w:val="004340F2"/>
    <w:rsid w:val="00434267"/>
    <w:rsid w:val="004343FB"/>
    <w:rsid w:val="00434423"/>
    <w:rsid w:val="004347C8"/>
    <w:rsid w:val="00434AB3"/>
    <w:rsid w:val="00435B25"/>
    <w:rsid w:val="004368D9"/>
    <w:rsid w:val="004403BF"/>
    <w:rsid w:val="00440911"/>
    <w:rsid w:val="00440C6F"/>
    <w:rsid w:val="00442311"/>
    <w:rsid w:val="0044271A"/>
    <w:rsid w:val="00442B8C"/>
    <w:rsid w:val="00443623"/>
    <w:rsid w:val="00444F73"/>
    <w:rsid w:val="00446486"/>
    <w:rsid w:val="0045009B"/>
    <w:rsid w:val="00450F4C"/>
    <w:rsid w:val="00451219"/>
    <w:rsid w:val="00452D08"/>
    <w:rsid w:val="00453EB4"/>
    <w:rsid w:val="00453F96"/>
    <w:rsid w:val="0045423E"/>
    <w:rsid w:val="00454ECB"/>
    <w:rsid w:val="0045615F"/>
    <w:rsid w:val="004608D5"/>
    <w:rsid w:val="00461662"/>
    <w:rsid w:val="00461E2A"/>
    <w:rsid w:val="00461F9D"/>
    <w:rsid w:val="00463A08"/>
    <w:rsid w:val="00464AB3"/>
    <w:rsid w:val="00464E3C"/>
    <w:rsid w:val="004669B6"/>
    <w:rsid w:val="00466A3E"/>
    <w:rsid w:val="00466D07"/>
    <w:rsid w:val="00467173"/>
    <w:rsid w:val="00467E3E"/>
    <w:rsid w:val="0047037C"/>
    <w:rsid w:val="00470C1E"/>
    <w:rsid w:val="00471225"/>
    <w:rsid w:val="004713C2"/>
    <w:rsid w:val="004722CE"/>
    <w:rsid w:val="004723BC"/>
    <w:rsid w:val="00472486"/>
    <w:rsid w:val="0047282F"/>
    <w:rsid w:val="00473332"/>
    <w:rsid w:val="00473BF0"/>
    <w:rsid w:val="00473C3A"/>
    <w:rsid w:val="0047531B"/>
    <w:rsid w:val="004757C3"/>
    <w:rsid w:val="00477046"/>
    <w:rsid w:val="00477232"/>
    <w:rsid w:val="00477CFB"/>
    <w:rsid w:val="00480DD3"/>
    <w:rsid w:val="00482694"/>
    <w:rsid w:val="00482760"/>
    <w:rsid w:val="00482836"/>
    <w:rsid w:val="00482B88"/>
    <w:rsid w:val="00482C6C"/>
    <w:rsid w:val="00482E96"/>
    <w:rsid w:val="00483D62"/>
    <w:rsid w:val="004866F3"/>
    <w:rsid w:val="00486727"/>
    <w:rsid w:val="00490F4C"/>
    <w:rsid w:val="00491CC4"/>
    <w:rsid w:val="00491E29"/>
    <w:rsid w:val="00491F00"/>
    <w:rsid w:val="004921C0"/>
    <w:rsid w:val="00492225"/>
    <w:rsid w:val="00495080"/>
    <w:rsid w:val="004951CB"/>
    <w:rsid w:val="004957CC"/>
    <w:rsid w:val="00496516"/>
    <w:rsid w:val="00497F0C"/>
    <w:rsid w:val="004A0E37"/>
    <w:rsid w:val="004A0F05"/>
    <w:rsid w:val="004A16DC"/>
    <w:rsid w:val="004A18AB"/>
    <w:rsid w:val="004A3559"/>
    <w:rsid w:val="004A3C42"/>
    <w:rsid w:val="004A4591"/>
    <w:rsid w:val="004A5BC9"/>
    <w:rsid w:val="004A6728"/>
    <w:rsid w:val="004A705B"/>
    <w:rsid w:val="004B0D53"/>
    <w:rsid w:val="004B1208"/>
    <w:rsid w:val="004B134C"/>
    <w:rsid w:val="004B2693"/>
    <w:rsid w:val="004B3508"/>
    <w:rsid w:val="004B4019"/>
    <w:rsid w:val="004B4D5A"/>
    <w:rsid w:val="004B4D9A"/>
    <w:rsid w:val="004B5068"/>
    <w:rsid w:val="004B559E"/>
    <w:rsid w:val="004B653F"/>
    <w:rsid w:val="004B7B7C"/>
    <w:rsid w:val="004B7E46"/>
    <w:rsid w:val="004C021D"/>
    <w:rsid w:val="004C0976"/>
    <w:rsid w:val="004C1597"/>
    <w:rsid w:val="004C2262"/>
    <w:rsid w:val="004C25D6"/>
    <w:rsid w:val="004C2681"/>
    <w:rsid w:val="004C2F11"/>
    <w:rsid w:val="004C35AF"/>
    <w:rsid w:val="004C394E"/>
    <w:rsid w:val="004C3D47"/>
    <w:rsid w:val="004C4979"/>
    <w:rsid w:val="004C49A6"/>
    <w:rsid w:val="004C4B89"/>
    <w:rsid w:val="004C59C9"/>
    <w:rsid w:val="004C5B51"/>
    <w:rsid w:val="004C63F1"/>
    <w:rsid w:val="004C65C5"/>
    <w:rsid w:val="004C6DBE"/>
    <w:rsid w:val="004D0B2A"/>
    <w:rsid w:val="004D173E"/>
    <w:rsid w:val="004D2B7B"/>
    <w:rsid w:val="004D362C"/>
    <w:rsid w:val="004D37E0"/>
    <w:rsid w:val="004D46D6"/>
    <w:rsid w:val="004D4B5E"/>
    <w:rsid w:val="004D573E"/>
    <w:rsid w:val="004D5E39"/>
    <w:rsid w:val="004D5E75"/>
    <w:rsid w:val="004D6451"/>
    <w:rsid w:val="004D7E3A"/>
    <w:rsid w:val="004E0BAE"/>
    <w:rsid w:val="004E1017"/>
    <w:rsid w:val="004E1AA9"/>
    <w:rsid w:val="004E4458"/>
    <w:rsid w:val="004E483F"/>
    <w:rsid w:val="004E50A9"/>
    <w:rsid w:val="004E51AB"/>
    <w:rsid w:val="004E53AD"/>
    <w:rsid w:val="004E7C47"/>
    <w:rsid w:val="004F08F3"/>
    <w:rsid w:val="004F1DCE"/>
    <w:rsid w:val="004F1FD2"/>
    <w:rsid w:val="004F206E"/>
    <w:rsid w:val="004F2337"/>
    <w:rsid w:val="004F2462"/>
    <w:rsid w:val="004F247A"/>
    <w:rsid w:val="004F3360"/>
    <w:rsid w:val="004F6688"/>
    <w:rsid w:val="004F75BD"/>
    <w:rsid w:val="004F7ED1"/>
    <w:rsid w:val="00500CC2"/>
    <w:rsid w:val="00500DDA"/>
    <w:rsid w:val="00502335"/>
    <w:rsid w:val="0050242C"/>
    <w:rsid w:val="00504CAC"/>
    <w:rsid w:val="005101E7"/>
    <w:rsid w:val="00510AEE"/>
    <w:rsid w:val="005114D0"/>
    <w:rsid w:val="005117A1"/>
    <w:rsid w:val="00512456"/>
    <w:rsid w:val="00512FD3"/>
    <w:rsid w:val="005145EA"/>
    <w:rsid w:val="00514D8A"/>
    <w:rsid w:val="005155EB"/>
    <w:rsid w:val="0051582E"/>
    <w:rsid w:val="00516DB7"/>
    <w:rsid w:val="0051707C"/>
    <w:rsid w:val="00517C92"/>
    <w:rsid w:val="00517CDB"/>
    <w:rsid w:val="00517E6A"/>
    <w:rsid w:val="00517EE4"/>
    <w:rsid w:val="00520779"/>
    <w:rsid w:val="00522AC7"/>
    <w:rsid w:val="00522AD8"/>
    <w:rsid w:val="00522DAD"/>
    <w:rsid w:val="00522F71"/>
    <w:rsid w:val="00524364"/>
    <w:rsid w:val="00524B80"/>
    <w:rsid w:val="00525570"/>
    <w:rsid w:val="00525FA8"/>
    <w:rsid w:val="005263C5"/>
    <w:rsid w:val="0052696C"/>
    <w:rsid w:val="0052753C"/>
    <w:rsid w:val="00530230"/>
    <w:rsid w:val="0053049B"/>
    <w:rsid w:val="0053112A"/>
    <w:rsid w:val="00532F92"/>
    <w:rsid w:val="005335D5"/>
    <w:rsid w:val="00533640"/>
    <w:rsid w:val="0053499C"/>
    <w:rsid w:val="005350E3"/>
    <w:rsid w:val="00535ECD"/>
    <w:rsid w:val="00536042"/>
    <w:rsid w:val="00536441"/>
    <w:rsid w:val="00536520"/>
    <w:rsid w:val="005368C2"/>
    <w:rsid w:val="00536D72"/>
    <w:rsid w:val="00537E86"/>
    <w:rsid w:val="005403A8"/>
    <w:rsid w:val="0054155A"/>
    <w:rsid w:val="005416CB"/>
    <w:rsid w:val="005418F5"/>
    <w:rsid w:val="0054243B"/>
    <w:rsid w:val="00542BDB"/>
    <w:rsid w:val="00542E7A"/>
    <w:rsid w:val="0054307C"/>
    <w:rsid w:val="00543199"/>
    <w:rsid w:val="00543FE2"/>
    <w:rsid w:val="00544E87"/>
    <w:rsid w:val="00545CCE"/>
    <w:rsid w:val="00546DAA"/>
    <w:rsid w:val="005473D9"/>
    <w:rsid w:val="00547658"/>
    <w:rsid w:val="0054796D"/>
    <w:rsid w:val="00547E76"/>
    <w:rsid w:val="0055033D"/>
    <w:rsid w:val="0055062F"/>
    <w:rsid w:val="00551861"/>
    <w:rsid w:val="0055196A"/>
    <w:rsid w:val="00551C80"/>
    <w:rsid w:val="005532E5"/>
    <w:rsid w:val="00553842"/>
    <w:rsid w:val="005573DE"/>
    <w:rsid w:val="00557F48"/>
    <w:rsid w:val="00560488"/>
    <w:rsid w:val="00561470"/>
    <w:rsid w:val="0056172D"/>
    <w:rsid w:val="00561CFB"/>
    <w:rsid w:val="00561F54"/>
    <w:rsid w:val="00561FA0"/>
    <w:rsid w:val="0056234D"/>
    <w:rsid w:val="00563A6D"/>
    <w:rsid w:val="00563BE8"/>
    <w:rsid w:val="005659D2"/>
    <w:rsid w:val="00566DFF"/>
    <w:rsid w:val="00567247"/>
    <w:rsid w:val="00567DFA"/>
    <w:rsid w:val="005713BA"/>
    <w:rsid w:val="005714DC"/>
    <w:rsid w:val="00574361"/>
    <w:rsid w:val="005744A1"/>
    <w:rsid w:val="005759E9"/>
    <w:rsid w:val="005766FC"/>
    <w:rsid w:val="00576DAF"/>
    <w:rsid w:val="00581851"/>
    <w:rsid w:val="00581891"/>
    <w:rsid w:val="005827E7"/>
    <w:rsid w:val="00582B64"/>
    <w:rsid w:val="00582BF7"/>
    <w:rsid w:val="00583AEE"/>
    <w:rsid w:val="0058412F"/>
    <w:rsid w:val="005844DD"/>
    <w:rsid w:val="00584561"/>
    <w:rsid w:val="00584F4F"/>
    <w:rsid w:val="00585315"/>
    <w:rsid w:val="00585B4C"/>
    <w:rsid w:val="005860AE"/>
    <w:rsid w:val="00586314"/>
    <w:rsid w:val="005866CE"/>
    <w:rsid w:val="0059066D"/>
    <w:rsid w:val="00591834"/>
    <w:rsid w:val="00591ABB"/>
    <w:rsid w:val="00591CC2"/>
    <w:rsid w:val="005929C8"/>
    <w:rsid w:val="00593DAF"/>
    <w:rsid w:val="0059593F"/>
    <w:rsid w:val="0059664D"/>
    <w:rsid w:val="00596E6B"/>
    <w:rsid w:val="005A015B"/>
    <w:rsid w:val="005A0182"/>
    <w:rsid w:val="005A07BD"/>
    <w:rsid w:val="005A1F00"/>
    <w:rsid w:val="005A3B3E"/>
    <w:rsid w:val="005A3B41"/>
    <w:rsid w:val="005A5A62"/>
    <w:rsid w:val="005A5E95"/>
    <w:rsid w:val="005A6B93"/>
    <w:rsid w:val="005B0BE0"/>
    <w:rsid w:val="005B21D5"/>
    <w:rsid w:val="005B26BF"/>
    <w:rsid w:val="005B2DF9"/>
    <w:rsid w:val="005B2F31"/>
    <w:rsid w:val="005B4A3E"/>
    <w:rsid w:val="005B55AA"/>
    <w:rsid w:val="005B583B"/>
    <w:rsid w:val="005B6A74"/>
    <w:rsid w:val="005B7961"/>
    <w:rsid w:val="005B7FE3"/>
    <w:rsid w:val="005C196C"/>
    <w:rsid w:val="005C289B"/>
    <w:rsid w:val="005C2C46"/>
    <w:rsid w:val="005C3BB1"/>
    <w:rsid w:val="005C45F3"/>
    <w:rsid w:val="005C5B13"/>
    <w:rsid w:val="005C614D"/>
    <w:rsid w:val="005C7641"/>
    <w:rsid w:val="005D0097"/>
    <w:rsid w:val="005D1566"/>
    <w:rsid w:val="005D1766"/>
    <w:rsid w:val="005D1B0E"/>
    <w:rsid w:val="005D2CAA"/>
    <w:rsid w:val="005D3206"/>
    <w:rsid w:val="005D3A77"/>
    <w:rsid w:val="005D3D01"/>
    <w:rsid w:val="005D423C"/>
    <w:rsid w:val="005D48A0"/>
    <w:rsid w:val="005D73CA"/>
    <w:rsid w:val="005D7459"/>
    <w:rsid w:val="005E0316"/>
    <w:rsid w:val="005E15C1"/>
    <w:rsid w:val="005E232C"/>
    <w:rsid w:val="005E2E31"/>
    <w:rsid w:val="005E4083"/>
    <w:rsid w:val="005E4E0F"/>
    <w:rsid w:val="005E5263"/>
    <w:rsid w:val="005E62C7"/>
    <w:rsid w:val="005E67AE"/>
    <w:rsid w:val="005F1008"/>
    <w:rsid w:val="005F290A"/>
    <w:rsid w:val="005F3228"/>
    <w:rsid w:val="005F45EB"/>
    <w:rsid w:val="005F4B8D"/>
    <w:rsid w:val="005F57C2"/>
    <w:rsid w:val="005F5D20"/>
    <w:rsid w:val="005F612F"/>
    <w:rsid w:val="005F6A1E"/>
    <w:rsid w:val="005F6E03"/>
    <w:rsid w:val="005F6ED1"/>
    <w:rsid w:val="005F7613"/>
    <w:rsid w:val="005F7D52"/>
    <w:rsid w:val="006001C1"/>
    <w:rsid w:val="006007A0"/>
    <w:rsid w:val="006007A5"/>
    <w:rsid w:val="00600BBC"/>
    <w:rsid w:val="00600DBA"/>
    <w:rsid w:val="006027C9"/>
    <w:rsid w:val="00602B23"/>
    <w:rsid w:val="00603094"/>
    <w:rsid w:val="00603907"/>
    <w:rsid w:val="00603C76"/>
    <w:rsid w:val="00603D68"/>
    <w:rsid w:val="00605850"/>
    <w:rsid w:val="006066A3"/>
    <w:rsid w:val="0060670C"/>
    <w:rsid w:val="00607799"/>
    <w:rsid w:val="006115F8"/>
    <w:rsid w:val="00611684"/>
    <w:rsid w:val="0061199B"/>
    <w:rsid w:val="0061297E"/>
    <w:rsid w:val="006141DC"/>
    <w:rsid w:val="00614CD2"/>
    <w:rsid w:val="0061650E"/>
    <w:rsid w:val="006165AB"/>
    <w:rsid w:val="00616D8B"/>
    <w:rsid w:val="00622D10"/>
    <w:rsid w:val="00625319"/>
    <w:rsid w:val="00625886"/>
    <w:rsid w:val="00625A92"/>
    <w:rsid w:val="0063063E"/>
    <w:rsid w:val="006330AD"/>
    <w:rsid w:val="00634760"/>
    <w:rsid w:val="00635234"/>
    <w:rsid w:val="0063582A"/>
    <w:rsid w:val="0063596C"/>
    <w:rsid w:val="00635DDB"/>
    <w:rsid w:val="006361EE"/>
    <w:rsid w:val="0063665B"/>
    <w:rsid w:val="006373D8"/>
    <w:rsid w:val="006379DB"/>
    <w:rsid w:val="00637CA0"/>
    <w:rsid w:val="00637F15"/>
    <w:rsid w:val="00641268"/>
    <w:rsid w:val="006418C6"/>
    <w:rsid w:val="00642D01"/>
    <w:rsid w:val="0064337D"/>
    <w:rsid w:val="006434D8"/>
    <w:rsid w:val="00643C9C"/>
    <w:rsid w:val="006447C9"/>
    <w:rsid w:val="006447FE"/>
    <w:rsid w:val="00644E6E"/>
    <w:rsid w:val="00645C96"/>
    <w:rsid w:val="00645D92"/>
    <w:rsid w:val="00647AD3"/>
    <w:rsid w:val="00647B87"/>
    <w:rsid w:val="00650239"/>
    <w:rsid w:val="0065209B"/>
    <w:rsid w:val="006527FA"/>
    <w:rsid w:val="00652A6B"/>
    <w:rsid w:val="00653042"/>
    <w:rsid w:val="00653382"/>
    <w:rsid w:val="00653457"/>
    <w:rsid w:val="00653459"/>
    <w:rsid w:val="00653EF6"/>
    <w:rsid w:val="006542FD"/>
    <w:rsid w:val="00654BBB"/>
    <w:rsid w:val="00655BCD"/>
    <w:rsid w:val="00655CC3"/>
    <w:rsid w:val="00656A71"/>
    <w:rsid w:val="006603D2"/>
    <w:rsid w:val="00660C2F"/>
    <w:rsid w:val="00663002"/>
    <w:rsid w:val="0066307A"/>
    <w:rsid w:val="006637E2"/>
    <w:rsid w:val="006639CF"/>
    <w:rsid w:val="0066560E"/>
    <w:rsid w:val="00666804"/>
    <w:rsid w:val="006673B9"/>
    <w:rsid w:val="00667D6E"/>
    <w:rsid w:val="00667DA5"/>
    <w:rsid w:val="00671B29"/>
    <w:rsid w:val="00671DAF"/>
    <w:rsid w:val="00673608"/>
    <w:rsid w:val="0067529D"/>
    <w:rsid w:val="00676A64"/>
    <w:rsid w:val="00677FEA"/>
    <w:rsid w:val="00681DD9"/>
    <w:rsid w:val="00683138"/>
    <w:rsid w:val="00684C79"/>
    <w:rsid w:val="0069032A"/>
    <w:rsid w:val="0069100F"/>
    <w:rsid w:val="006915C6"/>
    <w:rsid w:val="006918E2"/>
    <w:rsid w:val="00692D36"/>
    <w:rsid w:val="006939DB"/>
    <w:rsid w:val="00694691"/>
    <w:rsid w:val="006946B6"/>
    <w:rsid w:val="006959EA"/>
    <w:rsid w:val="0069711F"/>
    <w:rsid w:val="006A019B"/>
    <w:rsid w:val="006A0A70"/>
    <w:rsid w:val="006A13CD"/>
    <w:rsid w:val="006A17C7"/>
    <w:rsid w:val="006A1BDC"/>
    <w:rsid w:val="006A37CC"/>
    <w:rsid w:val="006A3B16"/>
    <w:rsid w:val="006A4F3D"/>
    <w:rsid w:val="006A5E25"/>
    <w:rsid w:val="006A618B"/>
    <w:rsid w:val="006A75D0"/>
    <w:rsid w:val="006A7C84"/>
    <w:rsid w:val="006A7F8B"/>
    <w:rsid w:val="006B0410"/>
    <w:rsid w:val="006B074E"/>
    <w:rsid w:val="006B0782"/>
    <w:rsid w:val="006B13B1"/>
    <w:rsid w:val="006B146E"/>
    <w:rsid w:val="006B1C80"/>
    <w:rsid w:val="006B1D5C"/>
    <w:rsid w:val="006B1E43"/>
    <w:rsid w:val="006B208B"/>
    <w:rsid w:val="006B21D5"/>
    <w:rsid w:val="006B2344"/>
    <w:rsid w:val="006B4279"/>
    <w:rsid w:val="006B4987"/>
    <w:rsid w:val="006B53F8"/>
    <w:rsid w:val="006B556E"/>
    <w:rsid w:val="006B5918"/>
    <w:rsid w:val="006B66FC"/>
    <w:rsid w:val="006B6C70"/>
    <w:rsid w:val="006B72A3"/>
    <w:rsid w:val="006B7DCB"/>
    <w:rsid w:val="006C0117"/>
    <w:rsid w:val="006C040A"/>
    <w:rsid w:val="006C04F8"/>
    <w:rsid w:val="006C0598"/>
    <w:rsid w:val="006C0BE3"/>
    <w:rsid w:val="006C16CE"/>
    <w:rsid w:val="006C4D3E"/>
    <w:rsid w:val="006C5447"/>
    <w:rsid w:val="006C5DE1"/>
    <w:rsid w:val="006C6CDA"/>
    <w:rsid w:val="006C7594"/>
    <w:rsid w:val="006C76CF"/>
    <w:rsid w:val="006D0B75"/>
    <w:rsid w:val="006D11DE"/>
    <w:rsid w:val="006D1727"/>
    <w:rsid w:val="006D177F"/>
    <w:rsid w:val="006D3BA8"/>
    <w:rsid w:val="006D45F5"/>
    <w:rsid w:val="006D4AA5"/>
    <w:rsid w:val="006D6A41"/>
    <w:rsid w:val="006D7415"/>
    <w:rsid w:val="006E0517"/>
    <w:rsid w:val="006E0F8D"/>
    <w:rsid w:val="006E2B1E"/>
    <w:rsid w:val="006E33CE"/>
    <w:rsid w:val="006E3769"/>
    <w:rsid w:val="006E4BC9"/>
    <w:rsid w:val="006E4CC4"/>
    <w:rsid w:val="006E52BC"/>
    <w:rsid w:val="006E5BAC"/>
    <w:rsid w:val="006E5D34"/>
    <w:rsid w:val="006E5FEE"/>
    <w:rsid w:val="006E6667"/>
    <w:rsid w:val="006E66CC"/>
    <w:rsid w:val="006E7079"/>
    <w:rsid w:val="006E730B"/>
    <w:rsid w:val="006E7A93"/>
    <w:rsid w:val="006E7E58"/>
    <w:rsid w:val="006F0D51"/>
    <w:rsid w:val="006F1798"/>
    <w:rsid w:val="006F1B0A"/>
    <w:rsid w:val="006F1EC2"/>
    <w:rsid w:val="006F24E5"/>
    <w:rsid w:val="006F387F"/>
    <w:rsid w:val="006F443D"/>
    <w:rsid w:val="006F44FF"/>
    <w:rsid w:val="006F5246"/>
    <w:rsid w:val="006F56A3"/>
    <w:rsid w:val="006F6461"/>
    <w:rsid w:val="006F6E96"/>
    <w:rsid w:val="006F793A"/>
    <w:rsid w:val="006F7A26"/>
    <w:rsid w:val="006F7E58"/>
    <w:rsid w:val="006F7EB5"/>
    <w:rsid w:val="00700BEB"/>
    <w:rsid w:val="0070122E"/>
    <w:rsid w:val="00702B9E"/>
    <w:rsid w:val="00702CA3"/>
    <w:rsid w:val="00703523"/>
    <w:rsid w:val="00703896"/>
    <w:rsid w:val="00704399"/>
    <w:rsid w:val="007043F9"/>
    <w:rsid w:val="007048D4"/>
    <w:rsid w:val="00704B38"/>
    <w:rsid w:val="0070566D"/>
    <w:rsid w:val="00705692"/>
    <w:rsid w:val="00705DED"/>
    <w:rsid w:val="00705E8C"/>
    <w:rsid w:val="00706C92"/>
    <w:rsid w:val="007071A2"/>
    <w:rsid w:val="007100BC"/>
    <w:rsid w:val="00710B4A"/>
    <w:rsid w:val="00710BDC"/>
    <w:rsid w:val="00712566"/>
    <w:rsid w:val="00712682"/>
    <w:rsid w:val="007147DE"/>
    <w:rsid w:val="0071509C"/>
    <w:rsid w:val="007179F5"/>
    <w:rsid w:val="00717B45"/>
    <w:rsid w:val="00717D9D"/>
    <w:rsid w:val="00717EDD"/>
    <w:rsid w:val="007212D6"/>
    <w:rsid w:val="00723A1A"/>
    <w:rsid w:val="00723A8C"/>
    <w:rsid w:val="00724100"/>
    <w:rsid w:val="0072482B"/>
    <w:rsid w:val="00725EA6"/>
    <w:rsid w:val="007261A8"/>
    <w:rsid w:val="00726AC7"/>
    <w:rsid w:val="00730360"/>
    <w:rsid w:val="0073183F"/>
    <w:rsid w:val="0073195D"/>
    <w:rsid w:val="00732C2F"/>
    <w:rsid w:val="007341D7"/>
    <w:rsid w:val="00734F94"/>
    <w:rsid w:val="007367C9"/>
    <w:rsid w:val="00737A4D"/>
    <w:rsid w:val="00740713"/>
    <w:rsid w:val="007414E0"/>
    <w:rsid w:val="007418EB"/>
    <w:rsid w:val="00742C95"/>
    <w:rsid w:val="00742F2D"/>
    <w:rsid w:val="00747515"/>
    <w:rsid w:val="00750A3E"/>
    <w:rsid w:val="00750B62"/>
    <w:rsid w:val="0075196F"/>
    <w:rsid w:val="007525C3"/>
    <w:rsid w:val="007536BB"/>
    <w:rsid w:val="00753833"/>
    <w:rsid w:val="00754670"/>
    <w:rsid w:val="00754D62"/>
    <w:rsid w:val="00754F7C"/>
    <w:rsid w:val="00755339"/>
    <w:rsid w:val="007571F5"/>
    <w:rsid w:val="007579B5"/>
    <w:rsid w:val="00760FEB"/>
    <w:rsid w:val="00762522"/>
    <w:rsid w:val="00762637"/>
    <w:rsid w:val="00762D7F"/>
    <w:rsid w:val="00764E15"/>
    <w:rsid w:val="007653F4"/>
    <w:rsid w:val="007654DA"/>
    <w:rsid w:val="00766613"/>
    <w:rsid w:val="00766C4C"/>
    <w:rsid w:val="00767774"/>
    <w:rsid w:val="007679A5"/>
    <w:rsid w:val="007712F8"/>
    <w:rsid w:val="00771E65"/>
    <w:rsid w:val="007730CB"/>
    <w:rsid w:val="007745B5"/>
    <w:rsid w:val="0077507D"/>
    <w:rsid w:val="00781106"/>
    <w:rsid w:val="00781150"/>
    <w:rsid w:val="007812AB"/>
    <w:rsid w:val="007813D4"/>
    <w:rsid w:val="00781A7A"/>
    <w:rsid w:val="007829D5"/>
    <w:rsid w:val="0078326E"/>
    <w:rsid w:val="0078446B"/>
    <w:rsid w:val="00785115"/>
    <w:rsid w:val="007852AC"/>
    <w:rsid w:val="007859B5"/>
    <w:rsid w:val="00785DA0"/>
    <w:rsid w:val="00787D8F"/>
    <w:rsid w:val="00790A57"/>
    <w:rsid w:val="00790A97"/>
    <w:rsid w:val="00790C18"/>
    <w:rsid w:val="00791818"/>
    <w:rsid w:val="00791C0B"/>
    <w:rsid w:val="007932CE"/>
    <w:rsid w:val="00793B03"/>
    <w:rsid w:val="00793D40"/>
    <w:rsid w:val="00793FA1"/>
    <w:rsid w:val="007942E8"/>
    <w:rsid w:val="00794D07"/>
    <w:rsid w:val="00795B0A"/>
    <w:rsid w:val="00797756"/>
    <w:rsid w:val="007A01CB"/>
    <w:rsid w:val="007A0A9D"/>
    <w:rsid w:val="007A1148"/>
    <w:rsid w:val="007A1734"/>
    <w:rsid w:val="007A2319"/>
    <w:rsid w:val="007A38F8"/>
    <w:rsid w:val="007A3AF7"/>
    <w:rsid w:val="007A418D"/>
    <w:rsid w:val="007A4BB4"/>
    <w:rsid w:val="007A5DAC"/>
    <w:rsid w:val="007A6F47"/>
    <w:rsid w:val="007A71EA"/>
    <w:rsid w:val="007A7B38"/>
    <w:rsid w:val="007B026B"/>
    <w:rsid w:val="007B0364"/>
    <w:rsid w:val="007B0A18"/>
    <w:rsid w:val="007B0C1E"/>
    <w:rsid w:val="007B1EA9"/>
    <w:rsid w:val="007B21DD"/>
    <w:rsid w:val="007B28F9"/>
    <w:rsid w:val="007B2ACF"/>
    <w:rsid w:val="007B2F78"/>
    <w:rsid w:val="007B3852"/>
    <w:rsid w:val="007B39B5"/>
    <w:rsid w:val="007B3BC6"/>
    <w:rsid w:val="007B4729"/>
    <w:rsid w:val="007B4A02"/>
    <w:rsid w:val="007B4AF6"/>
    <w:rsid w:val="007B514D"/>
    <w:rsid w:val="007B5188"/>
    <w:rsid w:val="007B53CA"/>
    <w:rsid w:val="007B6A3A"/>
    <w:rsid w:val="007B7653"/>
    <w:rsid w:val="007B7ECA"/>
    <w:rsid w:val="007C1083"/>
    <w:rsid w:val="007C2188"/>
    <w:rsid w:val="007C270A"/>
    <w:rsid w:val="007C2C93"/>
    <w:rsid w:val="007C2FE4"/>
    <w:rsid w:val="007C342D"/>
    <w:rsid w:val="007C365B"/>
    <w:rsid w:val="007C4019"/>
    <w:rsid w:val="007C5B45"/>
    <w:rsid w:val="007C6FA6"/>
    <w:rsid w:val="007C77DD"/>
    <w:rsid w:val="007D2D2D"/>
    <w:rsid w:val="007D4031"/>
    <w:rsid w:val="007D4F72"/>
    <w:rsid w:val="007D5754"/>
    <w:rsid w:val="007D71BE"/>
    <w:rsid w:val="007E177F"/>
    <w:rsid w:val="007E1B8E"/>
    <w:rsid w:val="007E1F54"/>
    <w:rsid w:val="007E2160"/>
    <w:rsid w:val="007E254F"/>
    <w:rsid w:val="007E2C8B"/>
    <w:rsid w:val="007E2DCA"/>
    <w:rsid w:val="007E4237"/>
    <w:rsid w:val="007E6784"/>
    <w:rsid w:val="007E7BD8"/>
    <w:rsid w:val="007F051A"/>
    <w:rsid w:val="007F07A2"/>
    <w:rsid w:val="007F155F"/>
    <w:rsid w:val="007F183D"/>
    <w:rsid w:val="007F1917"/>
    <w:rsid w:val="007F22C9"/>
    <w:rsid w:val="007F2768"/>
    <w:rsid w:val="007F2D34"/>
    <w:rsid w:val="007F3E2D"/>
    <w:rsid w:val="007F4B03"/>
    <w:rsid w:val="007F563C"/>
    <w:rsid w:val="007F59C9"/>
    <w:rsid w:val="007F5B67"/>
    <w:rsid w:val="007F6363"/>
    <w:rsid w:val="007F7041"/>
    <w:rsid w:val="007F77A1"/>
    <w:rsid w:val="00800186"/>
    <w:rsid w:val="00800CB5"/>
    <w:rsid w:val="0080108E"/>
    <w:rsid w:val="00801D11"/>
    <w:rsid w:val="0080211C"/>
    <w:rsid w:val="00802140"/>
    <w:rsid w:val="008025BF"/>
    <w:rsid w:val="00803E5D"/>
    <w:rsid w:val="00804DE3"/>
    <w:rsid w:val="00805B48"/>
    <w:rsid w:val="00806A0D"/>
    <w:rsid w:val="00810FA7"/>
    <w:rsid w:val="00811635"/>
    <w:rsid w:val="008121D6"/>
    <w:rsid w:val="0081220D"/>
    <w:rsid w:val="008146DD"/>
    <w:rsid w:val="00815F70"/>
    <w:rsid w:val="008165C4"/>
    <w:rsid w:val="0081745D"/>
    <w:rsid w:val="008178D2"/>
    <w:rsid w:val="00817AD8"/>
    <w:rsid w:val="00822137"/>
    <w:rsid w:val="00822635"/>
    <w:rsid w:val="00822669"/>
    <w:rsid w:val="0082294E"/>
    <w:rsid w:val="00822C37"/>
    <w:rsid w:val="00823D8B"/>
    <w:rsid w:val="008242A1"/>
    <w:rsid w:val="00824318"/>
    <w:rsid w:val="008254C3"/>
    <w:rsid w:val="008259C6"/>
    <w:rsid w:val="0082672F"/>
    <w:rsid w:val="00826B51"/>
    <w:rsid w:val="00826FCF"/>
    <w:rsid w:val="00827CEC"/>
    <w:rsid w:val="0083033B"/>
    <w:rsid w:val="00830B60"/>
    <w:rsid w:val="00833F2F"/>
    <w:rsid w:val="00833F9B"/>
    <w:rsid w:val="00834572"/>
    <w:rsid w:val="00835047"/>
    <w:rsid w:val="0083518D"/>
    <w:rsid w:val="00835BA1"/>
    <w:rsid w:val="00835CDB"/>
    <w:rsid w:val="0083792B"/>
    <w:rsid w:val="00841512"/>
    <w:rsid w:val="00841578"/>
    <w:rsid w:val="0084198E"/>
    <w:rsid w:val="00841E6F"/>
    <w:rsid w:val="00841FCF"/>
    <w:rsid w:val="00843456"/>
    <w:rsid w:val="0084351B"/>
    <w:rsid w:val="00843790"/>
    <w:rsid w:val="0084537C"/>
    <w:rsid w:val="00845639"/>
    <w:rsid w:val="008465DA"/>
    <w:rsid w:val="0084787E"/>
    <w:rsid w:val="008507A4"/>
    <w:rsid w:val="00852E04"/>
    <w:rsid w:val="00854ABD"/>
    <w:rsid w:val="00855CF1"/>
    <w:rsid w:val="00856AFA"/>
    <w:rsid w:val="00856D31"/>
    <w:rsid w:val="008570DA"/>
    <w:rsid w:val="0085724A"/>
    <w:rsid w:val="0085747C"/>
    <w:rsid w:val="00857A92"/>
    <w:rsid w:val="00860ED3"/>
    <w:rsid w:val="00861440"/>
    <w:rsid w:val="00861511"/>
    <w:rsid w:val="00861D84"/>
    <w:rsid w:val="00862548"/>
    <w:rsid w:val="0086353A"/>
    <w:rsid w:val="00863A7B"/>
    <w:rsid w:val="0086532F"/>
    <w:rsid w:val="00866906"/>
    <w:rsid w:val="00866D3F"/>
    <w:rsid w:val="008673E0"/>
    <w:rsid w:val="00867489"/>
    <w:rsid w:val="008702BE"/>
    <w:rsid w:val="0087059C"/>
    <w:rsid w:val="008705E5"/>
    <w:rsid w:val="00870D57"/>
    <w:rsid w:val="00872FE4"/>
    <w:rsid w:val="00873918"/>
    <w:rsid w:val="00874577"/>
    <w:rsid w:val="008746FE"/>
    <w:rsid w:val="00875D52"/>
    <w:rsid w:val="0087736B"/>
    <w:rsid w:val="00877511"/>
    <w:rsid w:val="00880785"/>
    <w:rsid w:val="00881A5A"/>
    <w:rsid w:val="008829AF"/>
    <w:rsid w:val="00883806"/>
    <w:rsid w:val="00883B4E"/>
    <w:rsid w:val="00883FDA"/>
    <w:rsid w:val="00884EFB"/>
    <w:rsid w:val="00885605"/>
    <w:rsid w:val="00886C62"/>
    <w:rsid w:val="00887723"/>
    <w:rsid w:val="00890596"/>
    <w:rsid w:val="00892525"/>
    <w:rsid w:val="00892CB2"/>
    <w:rsid w:val="008935D9"/>
    <w:rsid w:val="00893FEA"/>
    <w:rsid w:val="00895AFB"/>
    <w:rsid w:val="008965A3"/>
    <w:rsid w:val="008A060C"/>
    <w:rsid w:val="008A3422"/>
    <w:rsid w:val="008A34DD"/>
    <w:rsid w:val="008A3889"/>
    <w:rsid w:val="008A3EBD"/>
    <w:rsid w:val="008A52CB"/>
    <w:rsid w:val="008A5D62"/>
    <w:rsid w:val="008A61E4"/>
    <w:rsid w:val="008A6BBC"/>
    <w:rsid w:val="008A7856"/>
    <w:rsid w:val="008A7EC5"/>
    <w:rsid w:val="008B0495"/>
    <w:rsid w:val="008B0982"/>
    <w:rsid w:val="008B0B28"/>
    <w:rsid w:val="008B0F35"/>
    <w:rsid w:val="008B1104"/>
    <w:rsid w:val="008B23A1"/>
    <w:rsid w:val="008B3FFF"/>
    <w:rsid w:val="008B400A"/>
    <w:rsid w:val="008B4A13"/>
    <w:rsid w:val="008B6B3F"/>
    <w:rsid w:val="008B6D14"/>
    <w:rsid w:val="008B72F3"/>
    <w:rsid w:val="008C0233"/>
    <w:rsid w:val="008C07D6"/>
    <w:rsid w:val="008C0F0D"/>
    <w:rsid w:val="008C23EF"/>
    <w:rsid w:val="008C2D99"/>
    <w:rsid w:val="008C475A"/>
    <w:rsid w:val="008C51A6"/>
    <w:rsid w:val="008C5C8B"/>
    <w:rsid w:val="008C6F24"/>
    <w:rsid w:val="008D02CA"/>
    <w:rsid w:val="008D054F"/>
    <w:rsid w:val="008D0791"/>
    <w:rsid w:val="008D104A"/>
    <w:rsid w:val="008D2798"/>
    <w:rsid w:val="008D2B0E"/>
    <w:rsid w:val="008D38CC"/>
    <w:rsid w:val="008D435B"/>
    <w:rsid w:val="008D55DE"/>
    <w:rsid w:val="008D5BF6"/>
    <w:rsid w:val="008E15AE"/>
    <w:rsid w:val="008E2332"/>
    <w:rsid w:val="008E2D21"/>
    <w:rsid w:val="008E32A6"/>
    <w:rsid w:val="008E6C09"/>
    <w:rsid w:val="008F0077"/>
    <w:rsid w:val="008F0CE6"/>
    <w:rsid w:val="008F1A67"/>
    <w:rsid w:val="008F2E17"/>
    <w:rsid w:val="008F31A0"/>
    <w:rsid w:val="008F3E8E"/>
    <w:rsid w:val="008F5678"/>
    <w:rsid w:val="008F5F99"/>
    <w:rsid w:val="008F68E6"/>
    <w:rsid w:val="008F6B69"/>
    <w:rsid w:val="008F6B89"/>
    <w:rsid w:val="008F7859"/>
    <w:rsid w:val="008F7931"/>
    <w:rsid w:val="008F7959"/>
    <w:rsid w:val="00900479"/>
    <w:rsid w:val="0090060F"/>
    <w:rsid w:val="00902C26"/>
    <w:rsid w:val="00902CA2"/>
    <w:rsid w:val="009045C5"/>
    <w:rsid w:val="00905244"/>
    <w:rsid w:val="009052D6"/>
    <w:rsid w:val="00905E1F"/>
    <w:rsid w:val="009064F6"/>
    <w:rsid w:val="009075FC"/>
    <w:rsid w:val="00910CCB"/>
    <w:rsid w:val="0091225C"/>
    <w:rsid w:val="00912665"/>
    <w:rsid w:val="00912A09"/>
    <w:rsid w:val="00912A13"/>
    <w:rsid w:val="00913558"/>
    <w:rsid w:val="0091367B"/>
    <w:rsid w:val="00913992"/>
    <w:rsid w:val="00914936"/>
    <w:rsid w:val="00914C57"/>
    <w:rsid w:val="009157FE"/>
    <w:rsid w:val="009166DA"/>
    <w:rsid w:val="00916B41"/>
    <w:rsid w:val="00916F56"/>
    <w:rsid w:val="00917265"/>
    <w:rsid w:val="009214A9"/>
    <w:rsid w:val="00921564"/>
    <w:rsid w:val="009239BE"/>
    <w:rsid w:val="00923BC9"/>
    <w:rsid w:val="00924658"/>
    <w:rsid w:val="00924B18"/>
    <w:rsid w:val="009252D3"/>
    <w:rsid w:val="0092644B"/>
    <w:rsid w:val="009267E4"/>
    <w:rsid w:val="0092743F"/>
    <w:rsid w:val="00932EF0"/>
    <w:rsid w:val="0093331A"/>
    <w:rsid w:val="00934BFD"/>
    <w:rsid w:val="00935320"/>
    <w:rsid w:val="00935452"/>
    <w:rsid w:val="0093560E"/>
    <w:rsid w:val="009360DD"/>
    <w:rsid w:val="00936A5F"/>
    <w:rsid w:val="00936DF0"/>
    <w:rsid w:val="0093712A"/>
    <w:rsid w:val="009371D6"/>
    <w:rsid w:val="009371EF"/>
    <w:rsid w:val="00937264"/>
    <w:rsid w:val="00937AC4"/>
    <w:rsid w:val="009406E4"/>
    <w:rsid w:val="00940EE7"/>
    <w:rsid w:val="0094194A"/>
    <w:rsid w:val="00941FBA"/>
    <w:rsid w:val="00942211"/>
    <w:rsid w:val="00942767"/>
    <w:rsid w:val="009428A5"/>
    <w:rsid w:val="0094325E"/>
    <w:rsid w:val="009435CA"/>
    <w:rsid w:val="00943AA2"/>
    <w:rsid w:val="009443C3"/>
    <w:rsid w:val="00944CC3"/>
    <w:rsid w:val="00944E37"/>
    <w:rsid w:val="00944FF0"/>
    <w:rsid w:val="0094511F"/>
    <w:rsid w:val="00945592"/>
    <w:rsid w:val="009455F1"/>
    <w:rsid w:val="00945FF2"/>
    <w:rsid w:val="009466B5"/>
    <w:rsid w:val="0094782F"/>
    <w:rsid w:val="00947CBA"/>
    <w:rsid w:val="0095050B"/>
    <w:rsid w:val="00950916"/>
    <w:rsid w:val="00950BA4"/>
    <w:rsid w:val="00951019"/>
    <w:rsid w:val="009519AF"/>
    <w:rsid w:val="00951ADC"/>
    <w:rsid w:val="00952731"/>
    <w:rsid w:val="009527F5"/>
    <w:rsid w:val="009533F7"/>
    <w:rsid w:val="0095352A"/>
    <w:rsid w:val="00954491"/>
    <w:rsid w:val="00954E4A"/>
    <w:rsid w:val="00954FAA"/>
    <w:rsid w:val="00956970"/>
    <w:rsid w:val="00960A4F"/>
    <w:rsid w:val="00961CC9"/>
    <w:rsid w:val="00963A14"/>
    <w:rsid w:val="00963FD8"/>
    <w:rsid w:val="00964A25"/>
    <w:rsid w:val="009654EA"/>
    <w:rsid w:val="00965E4E"/>
    <w:rsid w:val="00966438"/>
    <w:rsid w:val="00966A2E"/>
    <w:rsid w:val="0096712C"/>
    <w:rsid w:val="00970086"/>
    <w:rsid w:val="009706E6"/>
    <w:rsid w:val="009712C0"/>
    <w:rsid w:val="00971C22"/>
    <w:rsid w:val="00973581"/>
    <w:rsid w:val="00973E34"/>
    <w:rsid w:val="009746AD"/>
    <w:rsid w:val="00975128"/>
    <w:rsid w:val="00976A1A"/>
    <w:rsid w:val="00977858"/>
    <w:rsid w:val="009815FB"/>
    <w:rsid w:val="00982A11"/>
    <w:rsid w:val="009834CA"/>
    <w:rsid w:val="00983A6E"/>
    <w:rsid w:val="00984E47"/>
    <w:rsid w:val="009850EB"/>
    <w:rsid w:val="009857D2"/>
    <w:rsid w:val="00986E99"/>
    <w:rsid w:val="00986F00"/>
    <w:rsid w:val="00990490"/>
    <w:rsid w:val="009912C7"/>
    <w:rsid w:val="00991BE1"/>
    <w:rsid w:val="00992AB1"/>
    <w:rsid w:val="00993B48"/>
    <w:rsid w:val="00993F17"/>
    <w:rsid w:val="00994881"/>
    <w:rsid w:val="009949C5"/>
    <w:rsid w:val="00994A2F"/>
    <w:rsid w:val="00996190"/>
    <w:rsid w:val="00997513"/>
    <w:rsid w:val="009A264A"/>
    <w:rsid w:val="009A2894"/>
    <w:rsid w:val="009A2A72"/>
    <w:rsid w:val="009A3966"/>
    <w:rsid w:val="009A43D6"/>
    <w:rsid w:val="009A4704"/>
    <w:rsid w:val="009A494D"/>
    <w:rsid w:val="009A56F5"/>
    <w:rsid w:val="009A5B5D"/>
    <w:rsid w:val="009A7C00"/>
    <w:rsid w:val="009B00E2"/>
    <w:rsid w:val="009B032F"/>
    <w:rsid w:val="009B0A2C"/>
    <w:rsid w:val="009B0C9E"/>
    <w:rsid w:val="009B216C"/>
    <w:rsid w:val="009B4854"/>
    <w:rsid w:val="009B4DB2"/>
    <w:rsid w:val="009B54C0"/>
    <w:rsid w:val="009B5B00"/>
    <w:rsid w:val="009B5BBF"/>
    <w:rsid w:val="009B6820"/>
    <w:rsid w:val="009B6A5C"/>
    <w:rsid w:val="009C104E"/>
    <w:rsid w:val="009C1A06"/>
    <w:rsid w:val="009C1BE2"/>
    <w:rsid w:val="009C29DE"/>
    <w:rsid w:val="009C2D3B"/>
    <w:rsid w:val="009C3417"/>
    <w:rsid w:val="009C3702"/>
    <w:rsid w:val="009C3EAC"/>
    <w:rsid w:val="009C4074"/>
    <w:rsid w:val="009C435A"/>
    <w:rsid w:val="009C44E0"/>
    <w:rsid w:val="009C4D4E"/>
    <w:rsid w:val="009C6111"/>
    <w:rsid w:val="009D027C"/>
    <w:rsid w:val="009D09C9"/>
    <w:rsid w:val="009D0FF4"/>
    <w:rsid w:val="009D1041"/>
    <w:rsid w:val="009D118B"/>
    <w:rsid w:val="009D139F"/>
    <w:rsid w:val="009D1E85"/>
    <w:rsid w:val="009D4BC3"/>
    <w:rsid w:val="009E0002"/>
    <w:rsid w:val="009E095C"/>
    <w:rsid w:val="009E13B7"/>
    <w:rsid w:val="009E1D14"/>
    <w:rsid w:val="009E2799"/>
    <w:rsid w:val="009E3019"/>
    <w:rsid w:val="009E3153"/>
    <w:rsid w:val="009E543A"/>
    <w:rsid w:val="009E690D"/>
    <w:rsid w:val="009E6A57"/>
    <w:rsid w:val="009F016C"/>
    <w:rsid w:val="009F0C14"/>
    <w:rsid w:val="009F1A65"/>
    <w:rsid w:val="009F319B"/>
    <w:rsid w:val="009F38E3"/>
    <w:rsid w:val="009F390D"/>
    <w:rsid w:val="009F48E0"/>
    <w:rsid w:val="009F4EBF"/>
    <w:rsid w:val="009F5031"/>
    <w:rsid w:val="009F693F"/>
    <w:rsid w:val="009F7542"/>
    <w:rsid w:val="009F7818"/>
    <w:rsid w:val="00A0083F"/>
    <w:rsid w:val="00A00F60"/>
    <w:rsid w:val="00A015E9"/>
    <w:rsid w:val="00A01BFA"/>
    <w:rsid w:val="00A02FC7"/>
    <w:rsid w:val="00A033FA"/>
    <w:rsid w:val="00A03713"/>
    <w:rsid w:val="00A037F8"/>
    <w:rsid w:val="00A03DD8"/>
    <w:rsid w:val="00A040CD"/>
    <w:rsid w:val="00A06558"/>
    <w:rsid w:val="00A06656"/>
    <w:rsid w:val="00A0696C"/>
    <w:rsid w:val="00A06D66"/>
    <w:rsid w:val="00A0735D"/>
    <w:rsid w:val="00A077D5"/>
    <w:rsid w:val="00A1054F"/>
    <w:rsid w:val="00A10D24"/>
    <w:rsid w:val="00A11262"/>
    <w:rsid w:val="00A112D0"/>
    <w:rsid w:val="00A1272E"/>
    <w:rsid w:val="00A15664"/>
    <w:rsid w:val="00A15CEB"/>
    <w:rsid w:val="00A15DA1"/>
    <w:rsid w:val="00A15F00"/>
    <w:rsid w:val="00A17A4C"/>
    <w:rsid w:val="00A17E2E"/>
    <w:rsid w:val="00A20AE6"/>
    <w:rsid w:val="00A215AD"/>
    <w:rsid w:val="00A22B68"/>
    <w:rsid w:val="00A23FA9"/>
    <w:rsid w:val="00A253FA"/>
    <w:rsid w:val="00A256E6"/>
    <w:rsid w:val="00A25A92"/>
    <w:rsid w:val="00A25CDB"/>
    <w:rsid w:val="00A271DF"/>
    <w:rsid w:val="00A27D6E"/>
    <w:rsid w:val="00A3036E"/>
    <w:rsid w:val="00A306DE"/>
    <w:rsid w:val="00A32395"/>
    <w:rsid w:val="00A32F3B"/>
    <w:rsid w:val="00A338C0"/>
    <w:rsid w:val="00A343CD"/>
    <w:rsid w:val="00A34E7F"/>
    <w:rsid w:val="00A35580"/>
    <w:rsid w:val="00A35821"/>
    <w:rsid w:val="00A3703F"/>
    <w:rsid w:val="00A37892"/>
    <w:rsid w:val="00A40027"/>
    <w:rsid w:val="00A40312"/>
    <w:rsid w:val="00A41911"/>
    <w:rsid w:val="00A421B8"/>
    <w:rsid w:val="00A42FF5"/>
    <w:rsid w:val="00A4330B"/>
    <w:rsid w:val="00A4515C"/>
    <w:rsid w:val="00A451CF"/>
    <w:rsid w:val="00A452C0"/>
    <w:rsid w:val="00A459D9"/>
    <w:rsid w:val="00A45CC7"/>
    <w:rsid w:val="00A46AEB"/>
    <w:rsid w:val="00A46E01"/>
    <w:rsid w:val="00A477E9"/>
    <w:rsid w:val="00A478E1"/>
    <w:rsid w:val="00A51D79"/>
    <w:rsid w:val="00A521B8"/>
    <w:rsid w:val="00A54F7E"/>
    <w:rsid w:val="00A55BC0"/>
    <w:rsid w:val="00A55E4D"/>
    <w:rsid w:val="00A57BA0"/>
    <w:rsid w:val="00A61677"/>
    <w:rsid w:val="00A61872"/>
    <w:rsid w:val="00A61BAE"/>
    <w:rsid w:val="00A62CCD"/>
    <w:rsid w:val="00A62D6A"/>
    <w:rsid w:val="00A63638"/>
    <w:rsid w:val="00A65231"/>
    <w:rsid w:val="00A656D7"/>
    <w:rsid w:val="00A663A2"/>
    <w:rsid w:val="00A67A69"/>
    <w:rsid w:val="00A67B67"/>
    <w:rsid w:val="00A716AB"/>
    <w:rsid w:val="00A72E56"/>
    <w:rsid w:val="00A7364F"/>
    <w:rsid w:val="00A73857"/>
    <w:rsid w:val="00A74786"/>
    <w:rsid w:val="00A74B5F"/>
    <w:rsid w:val="00A74E1D"/>
    <w:rsid w:val="00A751FE"/>
    <w:rsid w:val="00A76BBF"/>
    <w:rsid w:val="00A77162"/>
    <w:rsid w:val="00A77364"/>
    <w:rsid w:val="00A77E8C"/>
    <w:rsid w:val="00A802FC"/>
    <w:rsid w:val="00A814A7"/>
    <w:rsid w:val="00A81CF3"/>
    <w:rsid w:val="00A8463E"/>
    <w:rsid w:val="00A85055"/>
    <w:rsid w:val="00A85695"/>
    <w:rsid w:val="00A86AED"/>
    <w:rsid w:val="00A86B05"/>
    <w:rsid w:val="00A871D9"/>
    <w:rsid w:val="00A908E5"/>
    <w:rsid w:val="00A909B3"/>
    <w:rsid w:val="00A91873"/>
    <w:rsid w:val="00A93057"/>
    <w:rsid w:val="00A93581"/>
    <w:rsid w:val="00A93E40"/>
    <w:rsid w:val="00A94618"/>
    <w:rsid w:val="00A94B66"/>
    <w:rsid w:val="00A95258"/>
    <w:rsid w:val="00A95A55"/>
    <w:rsid w:val="00A961AF"/>
    <w:rsid w:val="00A97852"/>
    <w:rsid w:val="00AA0D95"/>
    <w:rsid w:val="00AA108D"/>
    <w:rsid w:val="00AA216D"/>
    <w:rsid w:val="00AA231D"/>
    <w:rsid w:val="00AA2366"/>
    <w:rsid w:val="00AA2B13"/>
    <w:rsid w:val="00AA4E9C"/>
    <w:rsid w:val="00AA619A"/>
    <w:rsid w:val="00AA61A3"/>
    <w:rsid w:val="00AA6B25"/>
    <w:rsid w:val="00AA6DBC"/>
    <w:rsid w:val="00AA726E"/>
    <w:rsid w:val="00AA73CA"/>
    <w:rsid w:val="00AB0177"/>
    <w:rsid w:val="00AB0794"/>
    <w:rsid w:val="00AB18B0"/>
    <w:rsid w:val="00AB3963"/>
    <w:rsid w:val="00AB3B44"/>
    <w:rsid w:val="00AB40A8"/>
    <w:rsid w:val="00AB41A6"/>
    <w:rsid w:val="00AB51FE"/>
    <w:rsid w:val="00AB5556"/>
    <w:rsid w:val="00AB5CA6"/>
    <w:rsid w:val="00AB625C"/>
    <w:rsid w:val="00AB68E3"/>
    <w:rsid w:val="00AC0030"/>
    <w:rsid w:val="00AC0852"/>
    <w:rsid w:val="00AC1AD1"/>
    <w:rsid w:val="00AC2796"/>
    <w:rsid w:val="00AC2984"/>
    <w:rsid w:val="00AC3953"/>
    <w:rsid w:val="00AC3F44"/>
    <w:rsid w:val="00AC4EFD"/>
    <w:rsid w:val="00AC6075"/>
    <w:rsid w:val="00AC699B"/>
    <w:rsid w:val="00AD00DE"/>
    <w:rsid w:val="00AD0E77"/>
    <w:rsid w:val="00AD0F09"/>
    <w:rsid w:val="00AD18A3"/>
    <w:rsid w:val="00AD2EDD"/>
    <w:rsid w:val="00AD42AC"/>
    <w:rsid w:val="00AD6604"/>
    <w:rsid w:val="00AD6763"/>
    <w:rsid w:val="00AD7BA3"/>
    <w:rsid w:val="00AD7D34"/>
    <w:rsid w:val="00AE0757"/>
    <w:rsid w:val="00AE10BB"/>
    <w:rsid w:val="00AE198C"/>
    <w:rsid w:val="00AE2728"/>
    <w:rsid w:val="00AE275E"/>
    <w:rsid w:val="00AE2805"/>
    <w:rsid w:val="00AE2CFB"/>
    <w:rsid w:val="00AE3763"/>
    <w:rsid w:val="00AE3CA3"/>
    <w:rsid w:val="00AE518F"/>
    <w:rsid w:val="00AE5254"/>
    <w:rsid w:val="00AE5314"/>
    <w:rsid w:val="00AE5D18"/>
    <w:rsid w:val="00AE7807"/>
    <w:rsid w:val="00AF1CA8"/>
    <w:rsid w:val="00AF1DB3"/>
    <w:rsid w:val="00AF2036"/>
    <w:rsid w:val="00AF2646"/>
    <w:rsid w:val="00AF3C16"/>
    <w:rsid w:val="00AF474E"/>
    <w:rsid w:val="00AF5DE7"/>
    <w:rsid w:val="00AF67D7"/>
    <w:rsid w:val="00AF6BED"/>
    <w:rsid w:val="00AF6DDD"/>
    <w:rsid w:val="00AF7595"/>
    <w:rsid w:val="00B00861"/>
    <w:rsid w:val="00B0167B"/>
    <w:rsid w:val="00B019B8"/>
    <w:rsid w:val="00B027E1"/>
    <w:rsid w:val="00B03031"/>
    <w:rsid w:val="00B03383"/>
    <w:rsid w:val="00B035B2"/>
    <w:rsid w:val="00B03CCF"/>
    <w:rsid w:val="00B03D7A"/>
    <w:rsid w:val="00B04AD5"/>
    <w:rsid w:val="00B04F85"/>
    <w:rsid w:val="00B05023"/>
    <w:rsid w:val="00B05343"/>
    <w:rsid w:val="00B05415"/>
    <w:rsid w:val="00B057B4"/>
    <w:rsid w:val="00B05ADF"/>
    <w:rsid w:val="00B06506"/>
    <w:rsid w:val="00B06DE9"/>
    <w:rsid w:val="00B074AC"/>
    <w:rsid w:val="00B1026A"/>
    <w:rsid w:val="00B106FD"/>
    <w:rsid w:val="00B10856"/>
    <w:rsid w:val="00B11763"/>
    <w:rsid w:val="00B1226E"/>
    <w:rsid w:val="00B13962"/>
    <w:rsid w:val="00B13EC3"/>
    <w:rsid w:val="00B14739"/>
    <w:rsid w:val="00B148FE"/>
    <w:rsid w:val="00B15192"/>
    <w:rsid w:val="00B1560D"/>
    <w:rsid w:val="00B16027"/>
    <w:rsid w:val="00B166DB"/>
    <w:rsid w:val="00B16A98"/>
    <w:rsid w:val="00B207DB"/>
    <w:rsid w:val="00B22457"/>
    <w:rsid w:val="00B238C4"/>
    <w:rsid w:val="00B243A2"/>
    <w:rsid w:val="00B2450C"/>
    <w:rsid w:val="00B24F28"/>
    <w:rsid w:val="00B2545E"/>
    <w:rsid w:val="00B27638"/>
    <w:rsid w:val="00B2787D"/>
    <w:rsid w:val="00B30DE1"/>
    <w:rsid w:val="00B312DA"/>
    <w:rsid w:val="00B31F2B"/>
    <w:rsid w:val="00B323BA"/>
    <w:rsid w:val="00B3266E"/>
    <w:rsid w:val="00B32EB5"/>
    <w:rsid w:val="00B3333D"/>
    <w:rsid w:val="00B34D18"/>
    <w:rsid w:val="00B35D5E"/>
    <w:rsid w:val="00B36481"/>
    <w:rsid w:val="00B37BC1"/>
    <w:rsid w:val="00B40AA9"/>
    <w:rsid w:val="00B410FE"/>
    <w:rsid w:val="00B41307"/>
    <w:rsid w:val="00B42D29"/>
    <w:rsid w:val="00B43F02"/>
    <w:rsid w:val="00B44350"/>
    <w:rsid w:val="00B44E11"/>
    <w:rsid w:val="00B45997"/>
    <w:rsid w:val="00B46FD2"/>
    <w:rsid w:val="00B47C27"/>
    <w:rsid w:val="00B50C4C"/>
    <w:rsid w:val="00B51178"/>
    <w:rsid w:val="00B52113"/>
    <w:rsid w:val="00B53395"/>
    <w:rsid w:val="00B53592"/>
    <w:rsid w:val="00B53BE4"/>
    <w:rsid w:val="00B53F26"/>
    <w:rsid w:val="00B540F9"/>
    <w:rsid w:val="00B54BA8"/>
    <w:rsid w:val="00B54CD6"/>
    <w:rsid w:val="00B565FC"/>
    <w:rsid w:val="00B57D84"/>
    <w:rsid w:val="00B60271"/>
    <w:rsid w:val="00B61E1A"/>
    <w:rsid w:val="00B64514"/>
    <w:rsid w:val="00B6538C"/>
    <w:rsid w:val="00B65589"/>
    <w:rsid w:val="00B661DC"/>
    <w:rsid w:val="00B665EA"/>
    <w:rsid w:val="00B67477"/>
    <w:rsid w:val="00B67E24"/>
    <w:rsid w:val="00B70793"/>
    <w:rsid w:val="00B70F77"/>
    <w:rsid w:val="00B7135E"/>
    <w:rsid w:val="00B71399"/>
    <w:rsid w:val="00B7278C"/>
    <w:rsid w:val="00B731F7"/>
    <w:rsid w:val="00B733C9"/>
    <w:rsid w:val="00B744B6"/>
    <w:rsid w:val="00B7562C"/>
    <w:rsid w:val="00B75A70"/>
    <w:rsid w:val="00B76B41"/>
    <w:rsid w:val="00B776E9"/>
    <w:rsid w:val="00B77EF1"/>
    <w:rsid w:val="00B80418"/>
    <w:rsid w:val="00B8090B"/>
    <w:rsid w:val="00B80947"/>
    <w:rsid w:val="00B81700"/>
    <w:rsid w:val="00B81B61"/>
    <w:rsid w:val="00B838AB"/>
    <w:rsid w:val="00B83E37"/>
    <w:rsid w:val="00B84439"/>
    <w:rsid w:val="00B844ED"/>
    <w:rsid w:val="00B852EB"/>
    <w:rsid w:val="00B856C8"/>
    <w:rsid w:val="00B86670"/>
    <w:rsid w:val="00B86927"/>
    <w:rsid w:val="00B87E42"/>
    <w:rsid w:val="00B87ECF"/>
    <w:rsid w:val="00B931FB"/>
    <w:rsid w:val="00B9626E"/>
    <w:rsid w:val="00B964ED"/>
    <w:rsid w:val="00B97FBE"/>
    <w:rsid w:val="00BA03F0"/>
    <w:rsid w:val="00BA1693"/>
    <w:rsid w:val="00BA2372"/>
    <w:rsid w:val="00BA244A"/>
    <w:rsid w:val="00BA2D90"/>
    <w:rsid w:val="00BA30DE"/>
    <w:rsid w:val="00BA3301"/>
    <w:rsid w:val="00BA44D8"/>
    <w:rsid w:val="00BA5465"/>
    <w:rsid w:val="00BA65DD"/>
    <w:rsid w:val="00BA6CA8"/>
    <w:rsid w:val="00BA70B1"/>
    <w:rsid w:val="00BA721F"/>
    <w:rsid w:val="00BA76BC"/>
    <w:rsid w:val="00BB0C1F"/>
    <w:rsid w:val="00BB13BC"/>
    <w:rsid w:val="00BB1B2E"/>
    <w:rsid w:val="00BB1DD0"/>
    <w:rsid w:val="00BB418C"/>
    <w:rsid w:val="00BB6081"/>
    <w:rsid w:val="00BB6DC4"/>
    <w:rsid w:val="00BB717E"/>
    <w:rsid w:val="00BC0776"/>
    <w:rsid w:val="00BC22FE"/>
    <w:rsid w:val="00BC24C9"/>
    <w:rsid w:val="00BC4928"/>
    <w:rsid w:val="00BC5950"/>
    <w:rsid w:val="00BC5A96"/>
    <w:rsid w:val="00BC6C85"/>
    <w:rsid w:val="00BC6F64"/>
    <w:rsid w:val="00BC7C29"/>
    <w:rsid w:val="00BD1000"/>
    <w:rsid w:val="00BD1DD8"/>
    <w:rsid w:val="00BD204F"/>
    <w:rsid w:val="00BD2A45"/>
    <w:rsid w:val="00BD2CCE"/>
    <w:rsid w:val="00BD2DD0"/>
    <w:rsid w:val="00BD462A"/>
    <w:rsid w:val="00BD4AA6"/>
    <w:rsid w:val="00BD4CD9"/>
    <w:rsid w:val="00BD4D6D"/>
    <w:rsid w:val="00BD526B"/>
    <w:rsid w:val="00BD5885"/>
    <w:rsid w:val="00BD78D3"/>
    <w:rsid w:val="00BE0747"/>
    <w:rsid w:val="00BE0927"/>
    <w:rsid w:val="00BE096E"/>
    <w:rsid w:val="00BE0B68"/>
    <w:rsid w:val="00BE11FD"/>
    <w:rsid w:val="00BE1B54"/>
    <w:rsid w:val="00BE1BB6"/>
    <w:rsid w:val="00BE1E70"/>
    <w:rsid w:val="00BE2509"/>
    <w:rsid w:val="00BE3436"/>
    <w:rsid w:val="00BE350A"/>
    <w:rsid w:val="00BE437A"/>
    <w:rsid w:val="00BE521E"/>
    <w:rsid w:val="00BE5E91"/>
    <w:rsid w:val="00BE7196"/>
    <w:rsid w:val="00BE778F"/>
    <w:rsid w:val="00BE7D22"/>
    <w:rsid w:val="00BF0FF7"/>
    <w:rsid w:val="00BF2235"/>
    <w:rsid w:val="00BF2E44"/>
    <w:rsid w:val="00BF3476"/>
    <w:rsid w:val="00BF37E8"/>
    <w:rsid w:val="00BF3A71"/>
    <w:rsid w:val="00BF4766"/>
    <w:rsid w:val="00BF47C1"/>
    <w:rsid w:val="00BF566F"/>
    <w:rsid w:val="00BF5E61"/>
    <w:rsid w:val="00BF6926"/>
    <w:rsid w:val="00BF7AC2"/>
    <w:rsid w:val="00C00A63"/>
    <w:rsid w:val="00C0159C"/>
    <w:rsid w:val="00C016D8"/>
    <w:rsid w:val="00C03017"/>
    <w:rsid w:val="00C034F7"/>
    <w:rsid w:val="00C053BB"/>
    <w:rsid w:val="00C05698"/>
    <w:rsid w:val="00C05B57"/>
    <w:rsid w:val="00C05CD6"/>
    <w:rsid w:val="00C06248"/>
    <w:rsid w:val="00C064A8"/>
    <w:rsid w:val="00C06D2C"/>
    <w:rsid w:val="00C10144"/>
    <w:rsid w:val="00C10E90"/>
    <w:rsid w:val="00C127F5"/>
    <w:rsid w:val="00C13294"/>
    <w:rsid w:val="00C132B3"/>
    <w:rsid w:val="00C13A22"/>
    <w:rsid w:val="00C164EF"/>
    <w:rsid w:val="00C175F2"/>
    <w:rsid w:val="00C176FD"/>
    <w:rsid w:val="00C211D7"/>
    <w:rsid w:val="00C21C96"/>
    <w:rsid w:val="00C229A2"/>
    <w:rsid w:val="00C22B9A"/>
    <w:rsid w:val="00C22F02"/>
    <w:rsid w:val="00C23B18"/>
    <w:rsid w:val="00C24FB3"/>
    <w:rsid w:val="00C25A6D"/>
    <w:rsid w:val="00C27ED6"/>
    <w:rsid w:val="00C30666"/>
    <w:rsid w:val="00C311AE"/>
    <w:rsid w:val="00C318F2"/>
    <w:rsid w:val="00C32394"/>
    <w:rsid w:val="00C327D1"/>
    <w:rsid w:val="00C350B8"/>
    <w:rsid w:val="00C35316"/>
    <w:rsid w:val="00C3692C"/>
    <w:rsid w:val="00C36A58"/>
    <w:rsid w:val="00C37954"/>
    <w:rsid w:val="00C41224"/>
    <w:rsid w:val="00C4168F"/>
    <w:rsid w:val="00C416A9"/>
    <w:rsid w:val="00C41D96"/>
    <w:rsid w:val="00C41FE6"/>
    <w:rsid w:val="00C42436"/>
    <w:rsid w:val="00C4501B"/>
    <w:rsid w:val="00C456FE"/>
    <w:rsid w:val="00C459E8"/>
    <w:rsid w:val="00C4617F"/>
    <w:rsid w:val="00C4707F"/>
    <w:rsid w:val="00C47294"/>
    <w:rsid w:val="00C47ED7"/>
    <w:rsid w:val="00C52D32"/>
    <w:rsid w:val="00C53718"/>
    <w:rsid w:val="00C56050"/>
    <w:rsid w:val="00C562AB"/>
    <w:rsid w:val="00C56C9A"/>
    <w:rsid w:val="00C56F4E"/>
    <w:rsid w:val="00C57A29"/>
    <w:rsid w:val="00C57D22"/>
    <w:rsid w:val="00C619A6"/>
    <w:rsid w:val="00C619D1"/>
    <w:rsid w:val="00C62A5B"/>
    <w:rsid w:val="00C62EDC"/>
    <w:rsid w:val="00C6344A"/>
    <w:rsid w:val="00C64F17"/>
    <w:rsid w:val="00C65A3D"/>
    <w:rsid w:val="00C66837"/>
    <w:rsid w:val="00C6696A"/>
    <w:rsid w:val="00C6780C"/>
    <w:rsid w:val="00C703F3"/>
    <w:rsid w:val="00C71DE7"/>
    <w:rsid w:val="00C73982"/>
    <w:rsid w:val="00C749D5"/>
    <w:rsid w:val="00C755EA"/>
    <w:rsid w:val="00C7656A"/>
    <w:rsid w:val="00C76F5F"/>
    <w:rsid w:val="00C80A04"/>
    <w:rsid w:val="00C81063"/>
    <w:rsid w:val="00C84662"/>
    <w:rsid w:val="00C8636E"/>
    <w:rsid w:val="00C86AFD"/>
    <w:rsid w:val="00C9011C"/>
    <w:rsid w:val="00C9087E"/>
    <w:rsid w:val="00C912D6"/>
    <w:rsid w:val="00C9198F"/>
    <w:rsid w:val="00C9310B"/>
    <w:rsid w:val="00C958EB"/>
    <w:rsid w:val="00C95C54"/>
    <w:rsid w:val="00C96A4D"/>
    <w:rsid w:val="00C97A0C"/>
    <w:rsid w:val="00C97D83"/>
    <w:rsid w:val="00CA076A"/>
    <w:rsid w:val="00CA1250"/>
    <w:rsid w:val="00CA1673"/>
    <w:rsid w:val="00CA1E0E"/>
    <w:rsid w:val="00CA21C0"/>
    <w:rsid w:val="00CA2506"/>
    <w:rsid w:val="00CA34BB"/>
    <w:rsid w:val="00CB000D"/>
    <w:rsid w:val="00CB1B53"/>
    <w:rsid w:val="00CB1DEC"/>
    <w:rsid w:val="00CB27E8"/>
    <w:rsid w:val="00CB32A4"/>
    <w:rsid w:val="00CB344D"/>
    <w:rsid w:val="00CB386F"/>
    <w:rsid w:val="00CB4371"/>
    <w:rsid w:val="00CB6A31"/>
    <w:rsid w:val="00CB7CD5"/>
    <w:rsid w:val="00CC0373"/>
    <w:rsid w:val="00CC2B5C"/>
    <w:rsid w:val="00CC3089"/>
    <w:rsid w:val="00CC476C"/>
    <w:rsid w:val="00CC48EF"/>
    <w:rsid w:val="00CC5875"/>
    <w:rsid w:val="00CC6552"/>
    <w:rsid w:val="00CC6647"/>
    <w:rsid w:val="00CC724E"/>
    <w:rsid w:val="00CC758F"/>
    <w:rsid w:val="00CD0087"/>
    <w:rsid w:val="00CD01FD"/>
    <w:rsid w:val="00CD0551"/>
    <w:rsid w:val="00CD0A20"/>
    <w:rsid w:val="00CD1F7F"/>
    <w:rsid w:val="00CD1F9E"/>
    <w:rsid w:val="00CD2538"/>
    <w:rsid w:val="00CD2F56"/>
    <w:rsid w:val="00CD3203"/>
    <w:rsid w:val="00CD3A24"/>
    <w:rsid w:val="00CD3C94"/>
    <w:rsid w:val="00CD42D7"/>
    <w:rsid w:val="00CD5B63"/>
    <w:rsid w:val="00CD6A1E"/>
    <w:rsid w:val="00CD74C2"/>
    <w:rsid w:val="00CD7B52"/>
    <w:rsid w:val="00CD7F7D"/>
    <w:rsid w:val="00CE0C08"/>
    <w:rsid w:val="00CE1C44"/>
    <w:rsid w:val="00CE24A0"/>
    <w:rsid w:val="00CE4101"/>
    <w:rsid w:val="00CE4264"/>
    <w:rsid w:val="00CE48F0"/>
    <w:rsid w:val="00CE4DA0"/>
    <w:rsid w:val="00CE52B0"/>
    <w:rsid w:val="00CE542C"/>
    <w:rsid w:val="00CE5B5A"/>
    <w:rsid w:val="00CF067E"/>
    <w:rsid w:val="00CF3307"/>
    <w:rsid w:val="00CF4393"/>
    <w:rsid w:val="00CF4A4D"/>
    <w:rsid w:val="00CF5248"/>
    <w:rsid w:val="00CF59C6"/>
    <w:rsid w:val="00CF6109"/>
    <w:rsid w:val="00D012F0"/>
    <w:rsid w:val="00D0163A"/>
    <w:rsid w:val="00D018E9"/>
    <w:rsid w:val="00D01FF0"/>
    <w:rsid w:val="00D0208A"/>
    <w:rsid w:val="00D0315A"/>
    <w:rsid w:val="00D03FB1"/>
    <w:rsid w:val="00D040A4"/>
    <w:rsid w:val="00D0504A"/>
    <w:rsid w:val="00D05562"/>
    <w:rsid w:val="00D055FD"/>
    <w:rsid w:val="00D0665C"/>
    <w:rsid w:val="00D10914"/>
    <w:rsid w:val="00D10992"/>
    <w:rsid w:val="00D10E08"/>
    <w:rsid w:val="00D112D3"/>
    <w:rsid w:val="00D11E05"/>
    <w:rsid w:val="00D1205C"/>
    <w:rsid w:val="00D21929"/>
    <w:rsid w:val="00D23006"/>
    <w:rsid w:val="00D23B73"/>
    <w:rsid w:val="00D23C66"/>
    <w:rsid w:val="00D24259"/>
    <w:rsid w:val="00D24C43"/>
    <w:rsid w:val="00D24D1F"/>
    <w:rsid w:val="00D2508B"/>
    <w:rsid w:val="00D250FE"/>
    <w:rsid w:val="00D25519"/>
    <w:rsid w:val="00D265E2"/>
    <w:rsid w:val="00D31030"/>
    <w:rsid w:val="00D31086"/>
    <w:rsid w:val="00D338D4"/>
    <w:rsid w:val="00D33B5E"/>
    <w:rsid w:val="00D35FAB"/>
    <w:rsid w:val="00D368E6"/>
    <w:rsid w:val="00D375C1"/>
    <w:rsid w:val="00D37E86"/>
    <w:rsid w:val="00D424D1"/>
    <w:rsid w:val="00D43564"/>
    <w:rsid w:val="00D44DB4"/>
    <w:rsid w:val="00D45475"/>
    <w:rsid w:val="00D474E6"/>
    <w:rsid w:val="00D47A05"/>
    <w:rsid w:val="00D500B3"/>
    <w:rsid w:val="00D50EE9"/>
    <w:rsid w:val="00D51380"/>
    <w:rsid w:val="00D51B2E"/>
    <w:rsid w:val="00D51C00"/>
    <w:rsid w:val="00D52787"/>
    <w:rsid w:val="00D52DD4"/>
    <w:rsid w:val="00D53B71"/>
    <w:rsid w:val="00D5441C"/>
    <w:rsid w:val="00D54B95"/>
    <w:rsid w:val="00D56403"/>
    <w:rsid w:val="00D56E26"/>
    <w:rsid w:val="00D57271"/>
    <w:rsid w:val="00D57A3C"/>
    <w:rsid w:val="00D57CCF"/>
    <w:rsid w:val="00D60795"/>
    <w:rsid w:val="00D620B0"/>
    <w:rsid w:val="00D6275B"/>
    <w:rsid w:val="00D632F0"/>
    <w:rsid w:val="00D63761"/>
    <w:rsid w:val="00D63EEF"/>
    <w:rsid w:val="00D6541B"/>
    <w:rsid w:val="00D65CE4"/>
    <w:rsid w:val="00D6621F"/>
    <w:rsid w:val="00D6677A"/>
    <w:rsid w:val="00D66865"/>
    <w:rsid w:val="00D668C8"/>
    <w:rsid w:val="00D675E6"/>
    <w:rsid w:val="00D677F1"/>
    <w:rsid w:val="00D67857"/>
    <w:rsid w:val="00D70278"/>
    <w:rsid w:val="00D702FE"/>
    <w:rsid w:val="00D7203F"/>
    <w:rsid w:val="00D731DE"/>
    <w:rsid w:val="00D738B8"/>
    <w:rsid w:val="00D7499A"/>
    <w:rsid w:val="00D75315"/>
    <w:rsid w:val="00D77162"/>
    <w:rsid w:val="00D80D5F"/>
    <w:rsid w:val="00D8333A"/>
    <w:rsid w:val="00D8386C"/>
    <w:rsid w:val="00D840A7"/>
    <w:rsid w:val="00D84577"/>
    <w:rsid w:val="00D85B74"/>
    <w:rsid w:val="00D90498"/>
    <w:rsid w:val="00D909D4"/>
    <w:rsid w:val="00D90F5A"/>
    <w:rsid w:val="00D914A7"/>
    <w:rsid w:val="00D9185D"/>
    <w:rsid w:val="00D91921"/>
    <w:rsid w:val="00D92840"/>
    <w:rsid w:val="00D93FBE"/>
    <w:rsid w:val="00D940AD"/>
    <w:rsid w:val="00D941E1"/>
    <w:rsid w:val="00D94525"/>
    <w:rsid w:val="00D950A5"/>
    <w:rsid w:val="00D9537F"/>
    <w:rsid w:val="00D95778"/>
    <w:rsid w:val="00D962D0"/>
    <w:rsid w:val="00D96A2D"/>
    <w:rsid w:val="00D9729A"/>
    <w:rsid w:val="00D97869"/>
    <w:rsid w:val="00D979C2"/>
    <w:rsid w:val="00DA00C6"/>
    <w:rsid w:val="00DA0501"/>
    <w:rsid w:val="00DA2AB8"/>
    <w:rsid w:val="00DA3966"/>
    <w:rsid w:val="00DA3D7D"/>
    <w:rsid w:val="00DA52F8"/>
    <w:rsid w:val="00DA543B"/>
    <w:rsid w:val="00DA5911"/>
    <w:rsid w:val="00DA5EA9"/>
    <w:rsid w:val="00DA6DA5"/>
    <w:rsid w:val="00DA7CAE"/>
    <w:rsid w:val="00DB046F"/>
    <w:rsid w:val="00DB232E"/>
    <w:rsid w:val="00DB29C3"/>
    <w:rsid w:val="00DB2D95"/>
    <w:rsid w:val="00DB358B"/>
    <w:rsid w:val="00DB42AB"/>
    <w:rsid w:val="00DB44DE"/>
    <w:rsid w:val="00DB518B"/>
    <w:rsid w:val="00DB526D"/>
    <w:rsid w:val="00DB5449"/>
    <w:rsid w:val="00DB55C2"/>
    <w:rsid w:val="00DB57F3"/>
    <w:rsid w:val="00DB772D"/>
    <w:rsid w:val="00DC0106"/>
    <w:rsid w:val="00DC0B18"/>
    <w:rsid w:val="00DC138A"/>
    <w:rsid w:val="00DC1A76"/>
    <w:rsid w:val="00DC3DA4"/>
    <w:rsid w:val="00DC5693"/>
    <w:rsid w:val="00DC58B1"/>
    <w:rsid w:val="00DC5AC9"/>
    <w:rsid w:val="00DC5C15"/>
    <w:rsid w:val="00DC609F"/>
    <w:rsid w:val="00DC6E41"/>
    <w:rsid w:val="00DC74AF"/>
    <w:rsid w:val="00DD2C2E"/>
    <w:rsid w:val="00DD3630"/>
    <w:rsid w:val="00DD3A19"/>
    <w:rsid w:val="00DD41BB"/>
    <w:rsid w:val="00DD421A"/>
    <w:rsid w:val="00DD435E"/>
    <w:rsid w:val="00DD508F"/>
    <w:rsid w:val="00DD5D78"/>
    <w:rsid w:val="00DD6CFA"/>
    <w:rsid w:val="00DD7062"/>
    <w:rsid w:val="00DE0D0E"/>
    <w:rsid w:val="00DE1B3C"/>
    <w:rsid w:val="00DE1BA4"/>
    <w:rsid w:val="00DE27DC"/>
    <w:rsid w:val="00DE5570"/>
    <w:rsid w:val="00DE55F1"/>
    <w:rsid w:val="00DE684D"/>
    <w:rsid w:val="00DE6860"/>
    <w:rsid w:val="00DE6BAD"/>
    <w:rsid w:val="00DE747B"/>
    <w:rsid w:val="00DE7CC0"/>
    <w:rsid w:val="00DF062F"/>
    <w:rsid w:val="00DF0E42"/>
    <w:rsid w:val="00DF148F"/>
    <w:rsid w:val="00DF2621"/>
    <w:rsid w:val="00DF27D7"/>
    <w:rsid w:val="00DF2948"/>
    <w:rsid w:val="00DF2B7F"/>
    <w:rsid w:val="00DF32E3"/>
    <w:rsid w:val="00DF33A3"/>
    <w:rsid w:val="00DF356A"/>
    <w:rsid w:val="00DF3F97"/>
    <w:rsid w:val="00DF5021"/>
    <w:rsid w:val="00DF7C4B"/>
    <w:rsid w:val="00DF7D9F"/>
    <w:rsid w:val="00E01C47"/>
    <w:rsid w:val="00E0234F"/>
    <w:rsid w:val="00E02DE8"/>
    <w:rsid w:val="00E02EAD"/>
    <w:rsid w:val="00E0336E"/>
    <w:rsid w:val="00E035E1"/>
    <w:rsid w:val="00E03C39"/>
    <w:rsid w:val="00E03C69"/>
    <w:rsid w:val="00E0478E"/>
    <w:rsid w:val="00E0482F"/>
    <w:rsid w:val="00E050D1"/>
    <w:rsid w:val="00E05824"/>
    <w:rsid w:val="00E06CFF"/>
    <w:rsid w:val="00E11A17"/>
    <w:rsid w:val="00E11AA9"/>
    <w:rsid w:val="00E12391"/>
    <w:rsid w:val="00E125F7"/>
    <w:rsid w:val="00E12993"/>
    <w:rsid w:val="00E12ADE"/>
    <w:rsid w:val="00E132D6"/>
    <w:rsid w:val="00E145F4"/>
    <w:rsid w:val="00E162BC"/>
    <w:rsid w:val="00E16DB5"/>
    <w:rsid w:val="00E172C2"/>
    <w:rsid w:val="00E17836"/>
    <w:rsid w:val="00E209DB"/>
    <w:rsid w:val="00E20E54"/>
    <w:rsid w:val="00E21836"/>
    <w:rsid w:val="00E224C4"/>
    <w:rsid w:val="00E2369A"/>
    <w:rsid w:val="00E239A1"/>
    <w:rsid w:val="00E23F96"/>
    <w:rsid w:val="00E24096"/>
    <w:rsid w:val="00E243C8"/>
    <w:rsid w:val="00E25AD2"/>
    <w:rsid w:val="00E269B3"/>
    <w:rsid w:val="00E269C7"/>
    <w:rsid w:val="00E26C6A"/>
    <w:rsid w:val="00E26E60"/>
    <w:rsid w:val="00E270C7"/>
    <w:rsid w:val="00E27F1C"/>
    <w:rsid w:val="00E30682"/>
    <w:rsid w:val="00E30C68"/>
    <w:rsid w:val="00E30F13"/>
    <w:rsid w:val="00E32B64"/>
    <w:rsid w:val="00E3439F"/>
    <w:rsid w:val="00E34E8D"/>
    <w:rsid w:val="00E35500"/>
    <w:rsid w:val="00E37A31"/>
    <w:rsid w:val="00E405A5"/>
    <w:rsid w:val="00E40835"/>
    <w:rsid w:val="00E4108F"/>
    <w:rsid w:val="00E4117C"/>
    <w:rsid w:val="00E444B3"/>
    <w:rsid w:val="00E45F2D"/>
    <w:rsid w:val="00E46372"/>
    <w:rsid w:val="00E4654F"/>
    <w:rsid w:val="00E467BC"/>
    <w:rsid w:val="00E46E54"/>
    <w:rsid w:val="00E47556"/>
    <w:rsid w:val="00E47BD9"/>
    <w:rsid w:val="00E502C3"/>
    <w:rsid w:val="00E52C35"/>
    <w:rsid w:val="00E53198"/>
    <w:rsid w:val="00E5320D"/>
    <w:rsid w:val="00E5330F"/>
    <w:rsid w:val="00E539D1"/>
    <w:rsid w:val="00E53C31"/>
    <w:rsid w:val="00E57930"/>
    <w:rsid w:val="00E57BBF"/>
    <w:rsid w:val="00E60E5D"/>
    <w:rsid w:val="00E61F8A"/>
    <w:rsid w:val="00E6200B"/>
    <w:rsid w:val="00E62BB4"/>
    <w:rsid w:val="00E6330B"/>
    <w:rsid w:val="00E638D5"/>
    <w:rsid w:val="00E64B05"/>
    <w:rsid w:val="00E64B74"/>
    <w:rsid w:val="00E66E0B"/>
    <w:rsid w:val="00E672AE"/>
    <w:rsid w:val="00E67320"/>
    <w:rsid w:val="00E70543"/>
    <w:rsid w:val="00E70780"/>
    <w:rsid w:val="00E70D80"/>
    <w:rsid w:val="00E71167"/>
    <w:rsid w:val="00E7131D"/>
    <w:rsid w:val="00E7244C"/>
    <w:rsid w:val="00E72A89"/>
    <w:rsid w:val="00E75A1C"/>
    <w:rsid w:val="00E761ED"/>
    <w:rsid w:val="00E80411"/>
    <w:rsid w:val="00E819A9"/>
    <w:rsid w:val="00E84DA7"/>
    <w:rsid w:val="00E85E88"/>
    <w:rsid w:val="00E85F54"/>
    <w:rsid w:val="00E86908"/>
    <w:rsid w:val="00E86C27"/>
    <w:rsid w:val="00E87649"/>
    <w:rsid w:val="00E8788B"/>
    <w:rsid w:val="00E902CE"/>
    <w:rsid w:val="00E92D03"/>
    <w:rsid w:val="00E93274"/>
    <w:rsid w:val="00E93888"/>
    <w:rsid w:val="00E940C1"/>
    <w:rsid w:val="00E94105"/>
    <w:rsid w:val="00E94D72"/>
    <w:rsid w:val="00E95D4F"/>
    <w:rsid w:val="00E9601A"/>
    <w:rsid w:val="00E97A0E"/>
    <w:rsid w:val="00EA29AB"/>
    <w:rsid w:val="00EA3611"/>
    <w:rsid w:val="00EA37FD"/>
    <w:rsid w:val="00EA4B89"/>
    <w:rsid w:val="00EA72D7"/>
    <w:rsid w:val="00EA7916"/>
    <w:rsid w:val="00EB098A"/>
    <w:rsid w:val="00EB0D86"/>
    <w:rsid w:val="00EB1087"/>
    <w:rsid w:val="00EB10AE"/>
    <w:rsid w:val="00EB13F0"/>
    <w:rsid w:val="00EB1571"/>
    <w:rsid w:val="00EB1B96"/>
    <w:rsid w:val="00EB210C"/>
    <w:rsid w:val="00EB2A15"/>
    <w:rsid w:val="00EB5761"/>
    <w:rsid w:val="00EB61DE"/>
    <w:rsid w:val="00EB6333"/>
    <w:rsid w:val="00EC0005"/>
    <w:rsid w:val="00EC0869"/>
    <w:rsid w:val="00EC0B82"/>
    <w:rsid w:val="00EC21D6"/>
    <w:rsid w:val="00EC4D7C"/>
    <w:rsid w:val="00EC4E93"/>
    <w:rsid w:val="00EC53AE"/>
    <w:rsid w:val="00EC5790"/>
    <w:rsid w:val="00EC5D55"/>
    <w:rsid w:val="00EC6A71"/>
    <w:rsid w:val="00EC6C47"/>
    <w:rsid w:val="00EC6EF2"/>
    <w:rsid w:val="00EC74E7"/>
    <w:rsid w:val="00ED1B84"/>
    <w:rsid w:val="00ED20EB"/>
    <w:rsid w:val="00ED42D4"/>
    <w:rsid w:val="00ED4D2F"/>
    <w:rsid w:val="00ED5D6F"/>
    <w:rsid w:val="00ED7849"/>
    <w:rsid w:val="00ED7910"/>
    <w:rsid w:val="00EE1A72"/>
    <w:rsid w:val="00EE1FDF"/>
    <w:rsid w:val="00EE255A"/>
    <w:rsid w:val="00EE41A9"/>
    <w:rsid w:val="00EE46E2"/>
    <w:rsid w:val="00EE4CF7"/>
    <w:rsid w:val="00EE4DE6"/>
    <w:rsid w:val="00EE63A4"/>
    <w:rsid w:val="00EE63FF"/>
    <w:rsid w:val="00EE6DD3"/>
    <w:rsid w:val="00EE7283"/>
    <w:rsid w:val="00EE79D4"/>
    <w:rsid w:val="00EE7EF9"/>
    <w:rsid w:val="00EF0993"/>
    <w:rsid w:val="00EF0BC2"/>
    <w:rsid w:val="00EF218E"/>
    <w:rsid w:val="00EF248A"/>
    <w:rsid w:val="00EF3983"/>
    <w:rsid w:val="00EF3E43"/>
    <w:rsid w:val="00EF43B9"/>
    <w:rsid w:val="00EF452E"/>
    <w:rsid w:val="00EF7F04"/>
    <w:rsid w:val="00F02996"/>
    <w:rsid w:val="00F04268"/>
    <w:rsid w:val="00F0452F"/>
    <w:rsid w:val="00F04A5E"/>
    <w:rsid w:val="00F0597D"/>
    <w:rsid w:val="00F05B34"/>
    <w:rsid w:val="00F077DC"/>
    <w:rsid w:val="00F07839"/>
    <w:rsid w:val="00F12A63"/>
    <w:rsid w:val="00F14BCE"/>
    <w:rsid w:val="00F14C42"/>
    <w:rsid w:val="00F15536"/>
    <w:rsid w:val="00F15F4E"/>
    <w:rsid w:val="00F16681"/>
    <w:rsid w:val="00F167F8"/>
    <w:rsid w:val="00F172FF"/>
    <w:rsid w:val="00F17E0A"/>
    <w:rsid w:val="00F207FE"/>
    <w:rsid w:val="00F21B10"/>
    <w:rsid w:val="00F222E6"/>
    <w:rsid w:val="00F22A10"/>
    <w:rsid w:val="00F23D13"/>
    <w:rsid w:val="00F24506"/>
    <w:rsid w:val="00F25AF3"/>
    <w:rsid w:val="00F26263"/>
    <w:rsid w:val="00F263F9"/>
    <w:rsid w:val="00F27135"/>
    <w:rsid w:val="00F30253"/>
    <w:rsid w:val="00F30ED9"/>
    <w:rsid w:val="00F31BBE"/>
    <w:rsid w:val="00F329BA"/>
    <w:rsid w:val="00F3380C"/>
    <w:rsid w:val="00F33AE8"/>
    <w:rsid w:val="00F34072"/>
    <w:rsid w:val="00F35430"/>
    <w:rsid w:val="00F355DE"/>
    <w:rsid w:val="00F363DC"/>
    <w:rsid w:val="00F3775A"/>
    <w:rsid w:val="00F37A5F"/>
    <w:rsid w:val="00F426FC"/>
    <w:rsid w:val="00F43512"/>
    <w:rsid w:val="00F445A0"/>
    <w:rsid w:val="00F4602E"/>
    <w:rsid w:val="00F46952"/>
    <w:rsid w:val="00F47C49"/>
    <w:rsid w:val="00F50E98"/>
    <w:rsid w:val="00F5105B"/>
    <w:rsid w:val="00F51F65"/>
    <w:rsid w:val="00F51FEF"/>
    <w:rsid w:val="00F5277B"/>
    <w:rsid w:val="00F54BDD"/>
    <w:rsid w:val="00F56B5B"/>
    <w:rsid w:val="00F57933"/>
    <w:rsid w:val="00F57C2F"/>
    <w:rsid w:val="00F57ED6"/>
    <w:rsid w:val="00F602F3"/>
    <w:rsid w:val="00F60FFB"/>
    <w:rsid w:val="00F62F7C"/>
    <w:rsid w:val="00F6493A"/>
    <w:rsid w:val="00F6583C"/>
    <w:rsid w:val="00F664F7"/>
    <w:rsid w:val="00F7010D"/>
    <w:rsid w:val="00F70682"/>
    <w:rsid w:val="00F72907"/>
    <w:rsid w:val="00F72C36"/>
    <w:rsid w:val="00F7351E"/>
    <w:rsid w:val="00F744DE"/>
    <w:rsid w:val="00F74582"/>
    <w:rsid w:val="00F768B5"/>
    <w:rsid w:val="00F771E0"/>
    <w:rsid w:val="00F802E8"/>
    <w:rsid w:val="00F80B84"/>
    <w:rsid w:val="00F80DAD"/>
    <w:rsid w:val="00F81525"/>
    <w:rsid w:val="00F81821"/>
    <w:rsid w:val="00F83C76"/>
    <w:rsid w:val="00F84D2B"/>
    <w:rsid w:val="00F85BBD"/>
    <w:rsid w:val="00F866F0"/>
    <w:rsid w:val="00F86817"/>
    <w:rsid w:val="00F8695B"/>
    <w:rsid w:val="00F86A20"/>
    <w:rsid w:val="00F87813"/>
    <w:rsid w:val="00F907F4"/>
    <w:rsid w:val="00F91104"/>
    <w:rsid w:val="00F9232A"/>
    <w:rsid w:val="00F93413"/>
    <w:rsid w:val="00F950F5"/>
    <w:rsid w:val="00F96501"/>
    <w:rsid w:val="00F96AD9"/>
    <w:rsid w:val="00F97256"/>
    <w:rsid w:val="00F9789E"/>
    <w:rsid w:val="00FA042A"/>
    <w:rsid w:val="00FA1255"/>
    <w:rsid w:val="00FA15DF"/>
    <w:rsid w:val="00FA1B90"/>
    <w:rsid w:val="00FA46A7"/>
    <w:rsid w:val="00FA5F04"/>
    <w:rsid w:val="00FA6DE5"/>
    <w:rsid w:val="00FA709E"/>
    <w:rsid w:val="00FA72E3"/>
    <w:rsid w:val="00FA7F90"/>
    <w:rsid w:val="00FB00DB"/>
    <w:rsid w:val="00FB03A1"/>
    <w:rsid w:val="00FB0C95"/>
    <w:rsid w:val="00FB2D38"/>
    <w:rsid w:val="00FB3415"/>
    <w:rsid w:val="00FB367D"/>
    <w:rsid w:val="00FB3A7A"/>
    <w:rsid w:val="00FB3A84"/>
    <w:rsid w:val="00FB4A9B"/>
    <w:rsid w:val="00FB4C38"/>
    <w:rsid w:val="00FC0356"/>
    <w:rsid w:val="00FC0AB4"/>
    <w:rsid w:val="00FC0ED4"/>
    <w:rsid w:val="00FC13A7"/>
    <w:rsid w:val="00FC1943"/>
    <w:rsid w:val="00FC1B76"/>
    <w:rsid w:val="00FC3794"/>
    <w:rsid w:val="00FC3E69"/>
    <w:rsid w:val="00FC59ED"/>
    <w:rsid w:val="00FC761A"/>
    <w:rsid w:val="00FD05FB"/>
    <w:rsid w:val="00FD1D05"/>
    <w:rsid w:val="00FD3187"/>
    <w:rsid w:val="00FD3399"/>
    <w:rsid w:val="00FD4999"/>
    <w:rsid w:val="00FD5ABB"/>
    <w:rsid w:val="00FD5CAA"/>
    <w:rsid w:val="00FD5F3E"/>
    <w:rsid w:val="00FE0256"/>
    <w:rsid w:val="00FE03E7"/>
    <w:rsid w:val="00FE075F"/>
    <w:rsid w:val="00FE0849"/>
    <w:rsid w:val="00FE1193"/>
    <w:rsid w:val="00FE23C8"/>
    <w:rsid w:val="00FE2CDA"/>
    <w:rsid w:val="00FE3D4A"/>
    <w:rsid w:val="00FE472E"/>
    <w:rsid w:val="00FE4781"/>
    <w:rsid w:val="00FE55A6"/>
    <w:rsid w:val="00FE5627"/>
    <w:rsid w:val="00FE5C28"/>
    <w:rsid w:val="00FE61F5"/>
    <w:rsid w:val="00FE63FA"/>
    <w:rsid w:val="00FE72DA"/>
    <w:rsid w:val="00FE7BF0"/>
    <w:rsid w:val="00FF136E"/>
    <w:rsid w:val="00FF27D8"/>
    <w:rsid w:val="00FF2A93"/>
    <w:rsid w:val="00FF6F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1FD38"/>
  <w15:chartTrackingRefBased/>
  <w15:docId w15:val="{F2EB8201-DBFC-469E-8D89-3660E843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10" w:unhideWhenUsed="1"/>
    <w:lsdException w:name="List Number 3" w:semiHidden="1" w:uiPriority="1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9D5"/>
    <w:pPr>
      <w:widowControl w:val="0"/>
      <w:autoSpaceDE w:val="0"/>
      <w:autoSpaceDN w:val="0"/>
      <w:spacing w:after="0" w:line="240" w:lineRule="auto"/>
      <w:jc w:val="both"/>
    </w:pPr>
    <w:rPr>
      <w:rFonts w:ascii="Arial" w:hAnsi="Arial" w:cs="Arial"/>
      <w:color w:val="000000" w:themeColor="text1"/>
      <w:sz w:val="20"/>
    </w:rPr>
  </w:style>
  <w:style w:type="paragraph" w:styleId="Heading1">
    <w:name w:val="heading 1"/>
    <w:basedOn w:val="Normal"/>
    <w:next w:val="Normal"/>
    <w:link w:val="Heading1Char"/>
    <w:qFormat/>
    <w:rsid w:val="00E64B05"/>
    <w:pPr>
      <w:keepNext/>
      <w:keepLines/>
      <w:spacing w:before="360" w:after="240"/>
      <w:outlineLvl w:val="0"/>
    </w:pPr>
    <w:rPr>
      <w:rFonts w:ascii="Century Gothic" w:eastAsiaTheme="majorEastAsia" w:hAnsi="Century Gothic" w:cstheme="majorBidi"/>
      <w:color w:val="00843D"/>
      <w:sz w:val="48"/>
      <w:szCs w:val="32"/>
    </w:rPr>
  </w:style>
  <w:style w:type="paragraph" w:styleId="Heading2">
    <w:name w:val="heading 2"/>
    <w:basedOn w:val="Normal"/>
    <w:next w:val="Normal"/>
    <w:link w:val="Heading2Char"/>
    <w:qFormat/>
    <w:rsid w:val="00E64B05"/>
    <w:pPr>
      <w:keepNext/>
      <w:keepLines/>
      <w:spacing w:before="360" w:after="240"/>
      <w:outlineLvl w:val="1"/>
    </w:pPr>
    <w:rPr>
      <w:rFonts w:ascii="Century Gothic" w:eastAsiaTheme="majorEastAsia" w:hAnsi="Century Gothic" w:cstheme="majorBidi"/>
      <w:color w:val="00843D"/>
      <w:sz w:val="36"/>
      <w:szCs w:val="26"/>
    </w:rPr>
  </w:style>
  <w:style w:type="paragraph" w:styleId="Heading3">
    <w:name w:val="heading 3"/>
    <w:basedOn w:val="Normal"/>
    <w:next w:val="Normal"/>
    <w:link w:val="Heading3Char"/>
    <w:qFormat/>
    <w:rsid w:val="00E64B05"/>
    <w:pPr>
      <w:keepNext/>
      <w:keepLines/>
      <w:spacing w:before="360" w:after="240"/>
      <w:outlineLvl w:val="2"/>
    </w:pPr>
    <w:rPr>
      <w:rFonts w:ascii="Century Gothic" w:eastAsiaTheme="majorEastAsia" w:hAnsi="Century Gothic" w:cstheme="majorBidi"/>
      <w:color w:val="00843D"/>
      <w:sz w:val="28"/>
      <w:szCs w:val="24"/>
    </w:rPr>
  </w:style>
  <w:style w:type="paragraph" w:styleId="Heading4">
    <w:name w:val="heading 4"/>
    <w:basedOn w:val="Normal"/>
    <w:next w:val="Normal"/>
    <w:link w:val="Heading4Char"/>
    <w:qFormat/>
    <w:rsid w:val="00E64B05"/>
    <w:pPr>
      <w:keepNext/>
      <w:keepLines/>
      <w:spacing w:before="360" w:after="240"/>
      <w:outlineLvl w:val="3"/>
    </w:pPr>
    <w:rPr>
      <w:rFonts w:ascii="Century Gothic" w:eastAsiaTheme="majorEastAsia" w:hAnsi="Century Gothic" w:cstheme="majorBidi"/>
      <w:iCs/>
      <w:color w:val="00843D"/>
      <w:sz w:val="24"/>
    </w:rPr>
  </w:style>
  <w:style w:type="paragraph" w:styleId="Heading5">
    <w:name w:val="heading 5"/>
    <w:basedOn w:val="Normal"/>
    <w:next w:val="Normal"/>
    <w:link w:val="Heading5Char"/>
    <w:qFormat/>
    <w:rsid w:val="00320AB2"/>
    <w:pPr>
      <w:keepNext/>
      <w:keepLines/>
      <w:spacing w:before="360" w:after="240"/>
      <w:outlineLvl w:val="4"/>
    </w:pPr>
    <w:rPr>
      <w:rFonts w:eastAsiaTheme="majorEastAsia" w:cstheme="majorBidi"/>
      <w:b/>
    </w:rPr>
  </w:style>
  <w:style w:type="paragraph" w:styleId="Heading6">
    <w:name w:val="heading 6"/>
    <w:basedOn w:val="Normal"/>
    <w:next w:val="Normal"/>
    <w:link w:val="Heading6Char"/>
    <w:uiPriority w:val="9"/>
    <w:unhideWhenUsed/>
    <w:rsid w:val="00951ADC"/>
    <w:pPr>
      <w:keepNext/>
      <w:keepLines/>
      <w:spacing w:before="360" w:after="240"/>
      <w:outlineLvl w:val="5"/>
    </w:pPr>
    <w:rPr>
      <w:rFonts w:eastAsiaTheme="majorEastAsia" w:cstheme="majorBidi"/>
      <w:i/>
    </w:rPr>
  </w:style>
  <w:style w:type="paragraph" w:styleId="Heading9">
    <w:name w:val="heading 9"/>
    <w:basedOn w:val="Normal"/>
    <w:next w:val="Normal"/>
    <w:link w:val="Heading9Char"/>
    <w:uiPriority w:val="9"/>
    <w:unhideWhenUsed/>
    <w:rsid w:val="00E9601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4B05"/>
    <w:rPr>
      <w:rFonts w:ascii="Century Gothic" w:eastAsiaTheme="majorEastAsia" w:hAnsi="Century Gothic" w:cstheme="majorBidi"/>
      <w:color w:val="00843D"/>
      <w:sz w:val="48"/>
      <w:szCs w:val="32"/>
    </w:rPr>
  </w:style>
  <w:style w:type="character" w:customStyle="1" w:styleId="Heading2Char">
    <w:name w:val="Heading 2 Char"/>
    <w:basedOn w:val="DefaultParagraphFont"/>
    <w:link w:val="Heading2"/>
    <w:rsid w:val="00E64B05"/>
    <w:rPr>
      <w:rFonts w:ascii="Century Gothic" w:eastAsiaTheme="majorEastAsia" w:hAnsi="Century Gothic" w:cstheme="majorBidi"/>
      <w:color w:val="00843D"/>
      <w:sz w:val="36"/>
      <w:szCs w:val="26"/>
    </w:rPr>
  </w:style>
  <w:style w:type="paragraph" w:styleId="NoSpacing">
    <w:name w:val="No Spacing"/>
    <w:aliases w:val="Document Title"/>
    <w:uiPriority w:val="1"/>
    <w:semiHidden/>
    <w:qFormat/>
    <w:rsid w:val="000D27EA"/>
    <w:pPr>
      <w:spacing w:after="0" w:line="240" w:lineRule="auto"/>
      <w:jc w:val="both"/>
    </w:pPr>
    <w:rPr>
      <w:rFonts w:ascii="Century Gothic" w:hAnsi="Century Gothic"/>
      <w:sz w:val="56"/>
    </w:r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qFormat/>
    <w:rsid w:val="000D27EA"/>
    <w:pPr>
      <w:ind w:left="720"/>
      <w:contextualSpacing/>
    </w:pPr>
    <w:rPr>
      <w:lang w:eastAsia="en-AU"/>
    </w:rPr>
  </w:style>
  <w:style w:type="character" w:customStyle="1" w:styleId="Heading3Char">
    <w:name w:val="Heading 3 Char"/>
    <w:basedOn w:val="DefaultParagraphFont"/>
    <w:link w:val="Heading3"/>
    <w:rsid w:val="00E64B05"/>
    <w:rPr>
      <w:rFonts w:ascii="Century Gothic" w:eastAsiaTheme="majorEastAsia" w:hAnsi="Century Gothic" w:cstheme="majorBidi"/>
      <w:color w:val="00843D"/>
      <w:sz w:val="28"/>
      <w:szCs w:val="24"/>
    </w:rPr>
  </w:style>
  <w:style w:type="character" w:customStyle="1" w:styleId="Heading4Char">
    <w:name w:val="Heading 4 Char"/>
    <w:basedOn w:val="DefaultParagraphFont"/>
    <w:link w:val="Heading4"/>
    <w:rsid w:val="00E64B05"/>
    <w:rPr>
      <w:rFonts w:ascii="Century Gothic" w:eastAsiaTheme="majorEastAsia" w:hAnsi="Century Gothic" w:cstheme="majorBidi"/>
      <w:iCs/>
      <w:color w:val="00843D"/>
      <w:sz w:val="24"/>
    </w:rPr>
  </w:style>
  <w:style w:type="paragraph" w:styleId="ListBullet">
    <w:name w:val="List Bullet"/>
    <w:basedOn w:val="Normal"/>
    <w:qFormat/>
    <w:rsid w:val="00C749D5"/>
    <w:pPr>
      <w:numPr>
        <w:numId w:val="4"/>
      </w:numPr>
      <w:spacing w:before="120" w:after="120"/>
      <w:ind w:left="714" w:hanging="357"/>
    </w:pPr>
  </w:style>
  <w:style w:type="paragraph" w:styleId="ListBullet2">
    <w:name w:val="List Bullet 2"/>
    <w:basedOn w:val="Normal"/>
    <w:next w:val="Normal"/>
    <w:qFormat/>
    <w:rsid w:val="00790A57"/>
    <w:pPr>
      <w:widowControl/>
      <w:numPr>
        <w:numId w:val="5"/>
      </w:numPr>
      <w:autoSpaceDE/>
      <w:autoSpaceDN/>
      <w:spacing w:before="120" w:after="280"/>
      <w:ind w:left="714" w:hanging="357"/>
    </w:pPr>
  </w:style>
  <w:style w:type="paragraph" w:styleId="ListBullet3">
    <w:name w:val="List Bullet 3"/>
    <w:aliases w:val="Last Bullet"/>
    <w:basedOn w:val="ListParagraph"/>
    <w:next w:val="ListBullet"/>
    <w:uiPriority w:val="99"/>
    <w:semiHidden/>
    <w:qFormat/>
    <w:rsid w:val="000D27EA"/>
    <w:pPr>
      <w:numPr>
        <w:numId w:val="9"/>
      </w:numPr>
      <w:spacing w:before="120" w:after="360"/>
      <w:contextualSpacing w:val="0"/>
    </w:pPr>
  </w:style>
  <w:style w:type="paragraph" w:customStyle="1" w:styleId="NumberedList">
    <w:name w:val="Numbered List"/>
    <w:basedOn w:val="ListBullet"/>
    <w:link w:val="NumberedListChar"/>
    <w:rsid w:val="00046A1E"/>
    <w:pPr>
      <w:numPr>
        <w:numId w:val="6"/>
      </w:numPr>
      <w:ind w:left="284" w:firstLine="0"/>
    </w:pPr>
    <w:rPr>
      <w:szCs w:val="21"/>
    </w:rPr>
  </w:style>
  <w:style w:type="character" w:customStyle="1" w:styleId="NumberedListChar">
    <w:name w:val="Numbered List Char"/>
    <w:basedOn w:val="DefaultParagraphFont"/>
    <w:link w:val="NumberedList"/>
    <w:rsid w:val="00046A1E"/>
    <w:rPr>
      <w:rFonts w:ascii="Arial" w:hAnsi="Arial" w:cs="Arial"/>
      <w:color w:val="000000" w:themeColor="text1"/>
      <w:sz w:val="20"/>
      <w:szCs w:val="21"/>
    </w:rPr>
  </w:style>
  <w:style w:type="paragraph" w:customStyle="1" w:styleId="TableTitle">
    <w:name w:val="Table Title"/>
    <w:basedOn w:val="Normal"/>
    <w:link w:val="TableTitleChar"/>
    <w:qFormat/>
    <w:rsid w:val="007F183D"/>
    <w:pPr>
      <w:keepNext/>
      <w:keepLines/>
      <w:widowControl/>
      <w:autoSpaceDE/>
      <w:autoSpaceDN/>
      <w:spacing w:before="360" w:after="40"/>
    </w:pPr>
    <w:rPr>
      <w:rFonts w:cstheme="minorBidi"/>
      <w:b/>
      <w:szCs w:val="20"/>
    </w:rPr>
  </w:style>
  <w:style w:type="paragraph" w:customStyle="1" w:styleId="FootnoteText1">
    <w:name w:val="Footnote Text1"/>
    <w:basedOn w:val="Normal"/>
    <w:uiPriority w:val="2"/>
    <w:semiHidden/>
    <w:rsid w:val="00B733C9"/>
    <w:rPr>
      <w:noProof/>
      <w:sz w:val="16"/>
      <w:szCs w:val="18"/>
    </w:rPr>
  </w:style>
  <w:style w:type="paragraph" w:styleId="FootnoteText">
    <w:name w:val="footnote text"/>
    <w:basedOn w:val="Normal"/>
    <w:link w:val="FootnoteTextChar"/>
    <w:uiPriority w:val="99"/>
    <w:unhideWhenUsed/>
    <w:rsid w:val="00230B0A"/>
    <w:rPr>
      <w:szCs w:val="20"/>
    </w:rPr>
  </w:style>
  <w:style w:type="character" w:customStyle="1" w:styleId="FootnoteTextChar">
    <w:name w:val="Footnote Text Char"/>
    <w:basedOn w:val="DefaultParagraphFont"/>
    <w:link w:val="FootnoteText"/>
    <w:uiPriority w:val="99"/>
    <w:rsid w:val="00230B0A"/>
    <w:rPr>
      <w:rFonts w:ascii="Arial" w:hAnsi="Arial" w:cs="Arial"/>
      <w:color w:val="000000" w:themeColor="text1"/>
      <w:sz w:val="20"/>
      <w:szCs w:val="20"/>
    </w:rPr>
  </w:style>
  <w:style w:type="paragraph" w:styleId="Caption">
    <w:name w:val="caption"/>
    <w:basedOn w:val="Normal"/>
    <w:next w:val="Normal"/>
    <w:uiPriority w:val="99"/>
    <w:semiHidden/>
    <w:rsid w:val="000D27EA"/>
    <w:pPr>
      <w:spacing w:after="200"/>
    </w:pPr>
    <w:rPr>
      <w:i/>
      <w:iCs/>
      <w:sz w:val="18"/>
      <w:szCs w:val="18"/>
    </w:rPr>
  </w:style>
  <w:style w:type="paragraph" w:customStyle="1" w:styleId="TableSource">
    <w:name w:val="Table Source"/>
    <w:basedOn w:val="Normal"/>
    <w:link w:val="TableSourceChar"/>
    <w:qFormat/>
    <w:rsid w:val="00855CF1"/>
    <w:pPr>
      <w:keepLines/>
      <w:widowControl/>
      <w:autoSpaceDE/>
      <w:autoSpaceDN/>
      <w:spacing w:before="40" w:after="480"/>
    </w:pPr>
    <w:rPr>
      <w:i/>
      <w:color w:val="00843D"/>
      <w:sz w:val="18"/>
      <w:szCs w:val="20"/>
      <w:lang w:val="en-US"/>
    </w:rPr>
  </w:style>
  <w:style w:type="paragraph" w:customStyle="1" w:styleId="SIHeading1">
    <w:name w:val="SI Heading 1"/>
    <w:basedOn w:val="Heading1"/>
    <w:uiPriority w:val="99"/>
    <w:semiHidden/>
    <w:rsid w:val="000D27EA"/>
    <w:pPr>
      <w:spacing w:before="120" w:after="120"/>
    </w:pPr>
    <w:rPr>
      <w:color w:val="4472C4" w:themeColor="accent1"/>
      <w:sz w:val="36"/>
    </w:rPr>
  </w:style>
  <w:style w:type="paragraph" w:customStyle="1" w:styleId="APPENDICES">
    <w:name w:val="APPENDICES"/>
    <w:basedOn w:val="Heading1"/>
    <w:uiPriority w:val="2"/>
    <w:semiHidden/>
    <w:rsid w:val="000D27EA"/>
    <w:pPr>
      <w:numPr>
        <w:numId w:val="7"/>
      </w:numPr>
      <w:spacing w:before="120" w:after="120"/>
    </w:pPr>
    <w:rPr>
      <w:b/>
      <w:color w:val="4472C4" w:themeColor="accent1"/>
      <w:sz w:val="32"/>
    </w:rPr>
  </w:style>
  <w:style w:type="character" w:customStyle="1" w:styleId="TableSourceChar">
    <w:name w:val="Table Source Char"/>
    <w:basedOn w:val="DefaultParagraphFont"/>
    <w:link w:val="TableSource"/>
    <w:rsid w:val="00855CF1"/>
    <w:rPr>
      <w:rFonts w:ascii="Arial" w:hAnsi="Arial" w:cs="Arial"/>
      <w:i/>
      <w:color w:val="00843D"/>
      <w:sz w:val="18"/>
      <w:szCs w:val="20"/>
      <w:lang w:val="en-US"/>
    </w:rPr>
  </w:style>
  <w:style w:type="paragraph" w:customStyle="1" w:styleId="TableHeading">
    <w:name w:val="Table Heading"/>
    <w:basedOn w:val="Normal"/>
    <w:link w:val="TableHeadingChar"/>
    <w:uiPriority w:val="1"/>
    <w:semiHidden/>
    <w:rsid w:val="000D27EA"/>
    <w:pPr>
      <w:keepNext/>
      <w:keepLines/>
      <w:widowControl/>
      <w:autoSpaceDE/>
      <w:autoSpaceDN/>
      <w:spacing w:before="120" w:after="20"/>
    </w:pPr>
    <w:rPr>
      <w:b/>
      <w:szCs w:val="20"/>
    </w:rPr>
  </w:style>
  <w:style w:type="character" w:customStyle="1" w:styleId="TableHeadingChar">
    <w:name w:val="Table Heading Char"/>
    <w:basedOn w:val="DefaultParagraphFont"/>
    <w:link w:val="TableHeading"/>
    <w:uiPriority w:val="1"/>
    <w:semiHidden/>
    <w:rsid w:val="00C749D5"/>
    <w:rPr>
      <w:rFonts w:ascii="Arial" w:hAnsi="Arial" w:cs="Arial"/>
      <w:b/>
      <w:color w:val="000000" w:themeColor="text1"/>
      <w:sz w:val="20"/>
      <w:szCs w:val="20"/>
    </w:rPr>
  </w:style>
  <w:style w:type="paragraph" w:customStyle="1" w:styleId="Footnote">
    <w:name w:val="Footnote"/>
    <w:basedOn w:val="Normal"/>
    <w:link w:val="FootnoteChar"/>
    <w:rsid w:val="00B733C9"/>
    <w:pPr>
      <w:widowControl/>
      <w:autoSpaceDE/>
      <w:autoSpaceDN/>
    </w:pPr>
    <w:rPr>
      <w:color w:val="000000"/>
      <w:sz w:val="16"/>
      <w:szCs w:val="14"/>
    </w:rPr>
  </w:style>
  <w:style w:type="character" w:customStyle="1" w:styleId="FootnoteChar">
    <w:name w:val="Footnote Char"/>
    <w:basedOn w:val="DefaultParagraphFont"/>
    <w:link w:val="Footnote"/>
    <w:rsid w:val="00B733C9"/>
    <w:rPr>
      <w:rFonts w:ascii="Arial" w:hAnsi="Arial" w:cs="Arial"/>
      <w:color w:val="000000"/>
      <w:sz w:val="16"/>
      <w:szCs w:val="14"/>
    </w:rPr>
  </w:style>
  <w:style w:type="character" w:styleId="FootnoteReference">
    <w:name w:val="footnote reference"/>
    <w:basedOn w:val="DefaultParagraphFont"/>
    <w:uiPriority w:val="99"/>
    <w:rsid w:val="000D27EA"/>
    <w:rPr>
      <w:rFonts w:ascii="Arial" w:hAnsi="Arial"/>
      <w:sz w:val="18"/>
      <w:vertAlign w:val="superscript"/>
    </w:rPr>
  </w:style>
  <w:style w:type="character" w:customStyle="1" w:styleId="TableTitleChar">
    <w:name w:val="Table Title Char"/>
    <w:basedOn w:val="DefaultParagraphFont"/>
    <w:link w:val="TableTitle"/>
    <w:rsid w:val="007F183D"/>
    <w:rPr>
      <w:rFonts w:ascii="Arial" w:hAnsi="Arial"/>
      <w:b/>
      <w:color w:val="000000" w:themeColor="text1"/>
      <w:sz w:val="20"/>
      <w:szCs w:val="20"/>
    </w:rPr>
  </w:style>
  <w:style w:type="paragraph" w:customStyle="1" w:styleId="FootnoteNiall">
    <w:name w:val="Footnote Niall"/>
    <w:basedOn w:val="Normal"/>
    <w:link w:val="FootnoteNiallChar"/>
    <w:qFormat/>
    <w:rsid w:val="00A72E56"/>
    <w:pPr>
      <w:widowControl/>
      <w:autoSpaceDE/>
      <w:autoSpaceDN/>
      <w:jc w:val="left"/>
    </w:pPr>
    <w:rPr>
      <w:color w:val="000000"/>
      <w:sz w:val="16"/>
      <w:szCs w:val="27"/>
    </w:rPr>
  </w:style>
  <w:style w:type="character" w:customStyle="1" w:styleId="FootnoteNiallChar">
    <w:name w:val="Footnote Niall Char"/>
    <w:basedOn w:val="DefaultParagraphFont"/>
    <w:link w:val="FootnoteNiall"/>
    <w:rsid w:val="00A72E56"/>
    <w:rPr>
      <w:rFonts w:ascii="Arial" w:hAnsi="Arial" w:cs="Arial"/>
      <w:color w:val="000000"/>
      <w:sz w:val="16"/>
      <w:szCs w:val="27"/>
    </w:rPr>
  </w:style>
  <w:style w:type="paragraph" w:customStyle="1" w:styleId="Sub-Bullets">
    <w:name w:val="Sub-Bullets"/>
    <w:basedOn w:val="ListBullet"/>
    <w:link w:val="Sub-BulletsChar"/>
    <w:uiPriority w:val="99"/>
    <w:semiHidden/>
    <w:rsid w:val="000D27EA"/>
    <w:pPr>
      <w:widowControl/>
      <w:numPr>
        <w:numId w:val="8"/>
      </w:numPr>
      <w:autoSpaceDE/>
      <w:autoSpaceDN/>
    </w:pPr>
    <w:rPr>
      <w:rFonts w:eastAsia="Times New Roman"/>
      <w:bCs/>
      <w:szCs w:val="20"/>
    </w:rPr>
  </w:style>
  <w:style w:type="character" w:customStyle="1" w:styleId="Sub-BulletsChar">
    <w:name w:val="Sub-Bullets Char"/>
    <w:basedOn w:val="DefaultParagraphFont"/>
    <w:link w:val="Sub-Bullets"/>
    <w:uiPriority w:val="99"/>
    <w:semiHidden/>
    <w:rsid w:val="00C749D5"/>
    <w:rPr>
      <w:rFonts w:ascii="Arial" w:eastAsia="Times New Roman" w:hAnsi="Arial" w:cs="Arial"/>
      <w:bCs/>
      <w:color w:val="000000" w:themeColor="text1"/>
      <w:sz w:val="20"/>
      <w:szCs w:val="20"/>
    </w:rPr>
  </w:style>
  <w:style w:type="paragraph" w:customStyle="1" w:styleId="TableInside">
    <w:name w:val="Table Inside"/>
    <w:basedOn w:val="Normal"/>
    <w:link w:val="TableInsideChar"/>
    <w:qFormat/>
    <w:rsid w:val="000D27EA"/>
    <w:pPr>
      <w:keepNext/>
      <w:keepLines/>
      <w:widowControl/>
      <w:spacing w:before="20" w:after="20"/>
    </w:pPr>
  </w:style>
  <w:style w:type="character" w:customStyle="1" w:styleId="TableInsideChar">
    <w:name w:val="Table Inside Char"/>
    <w:basedOn w:val="DefaultParagraphFont"/>
    <w:link w:val="TableInside"/>
    <w:rsid w:val="000D27EA"/>
    <w:rPr>
      <w:rFonts w:ascii="Arial" w:hAnsi="Arial" w:cs="Arial"/>
      <w:color w:val="000000" w:themeColor="text1"/>
      <w:sz w:val="20"/>
    </w:rPr>
  </w:style>
  <w:style w:type="paragraph" w:customStyle="1" w:styleId="Sub-Bullet">
    <w:name w:val="Sub-Bullet"/>
    <w:basedOn w:val="ListParagraph"/>
    <w:link w:val="Sub-BulletChar"/>
    <w:qFormat/>
    <w:rsid w:val="000D27EA"/>
    <w:pPr>
      <w:numPr>
        <w:ilvl w:val="1"/>
        <w:numId w:val="9"/>
      </w:numPr>
      <w:spacing w:before="120" w:after="120"/>
      <w:contextualSpacing w:val="0"/>
    </w:pPr>
  </w:style>
  <w:style w:type="character" w:customStyle="1" w:styleId="Sub-BulletChar">
    <w:name w:val="Sub-Bullet Char"/>
    <w:basedOn w:val="ListParagraphChar"/>
    <w:link w:val="Sub-Bullet"/>
    <w:rsid w:val="00C749D5"/>
    <w:rPr>
      <w:rFonts w:ascii="Arial" w:hAnsi="Arial" w:cs="Arial"/>
      <w:color w:val="000000" w:themeColor="text1"/>
      <w:sz w:val="20"/>
      <w:lang w:eastAsia="en-AU"/>
    </w:rPr>
  </w:style>
  <w:style w:type="paragraph" w:customStyle="1" w:styleId="Sub-Sub-Bullet">
    <w:name w:val="Sub-Sub-Bullet"/>
    <w:basedOn w:val="Sub-Bullet"/>
    <w:link w:val="Sub-Sub-BulletChar"/>
    <w:qFormat/>
    <w:rsid w:val="000D27EA"/>
    <w:pPr>
      <w:numPr>
        <w:ilvl w:val="2"/>
      </w:numPr>
    </w:pPr>
  </w:style>
  <w:style w:type="character" w:customStyle="1" w:styleId="Sub-Sub-BulletChar">
    <w:name w:val="Sub-Sub-Bullet Char"/>
    <w:basedOn w:val="Sub-BulletChar"/>
    <w:link w:val="Sub-Sub-Bullet"/>
    <w:rsid w:val="00C749D5"/>
    <w:rPr>
      <w:rFonts w:ascii="Arial" w:hAnsi="Arial" w:cs="Arial"/>
      <w:color w:val="000000" w:themeColor="text1"/>
      <w:sz w:val="20"/>
      <w:lang w:eastAsia="en-AU"/>
    </w:rPr>
  </w:style>
  <w:style w:type="paragraph" w:styleId="BodyText">
    <w:name w:val="Body Text"/>
    <w:basedOn w:val="Normal"/>
    <w:link w:val="BodyTextChar"/>
    <w:uiPriority w:val="1"/>
    <w:semiHidden/>
    <w:unhideWhenUsed/>
    <w:rsid w:val="000D27EA"/>
    <w:rPr>
      <w:rFonts w:eastAsia="Arial"/>
      <w:szCs w:val="20"/>
    </w:rPr>
  </w:style>
  <w:style w:type="character" w:customStyle="1" w:styleId="BodyTextChar">
    <w:name w:val="Body Text Char"/>
    <w:basedOn w:val="DefaultParagraphFont"/>
    <w:link w:val="BodyText"/>
    <w:uiPriority w:val="1"/>
    <w:semiHidden/>
    <w:rsid w:val="000D27EA"/>
    <w:rPr>
      <w:rFonts w:ascii="Arial" w:eastAsia="Arial" w:hAnsi="Arial" w:cs="Arial"/>
      <w:color w:val="000000" w:themeColor="text1"/>
      <w:sz w:val="20"/>
      <w:szCs w:val="20"/>
    </w:rPr>
  </w:style>
  <w:style w:type="character" w:styleId="Hyperlink">
    <w:name w:val="Hyperlink"/>
    <w:basedOn w:val="DefaultParagraphFont"/>
    <w:uiPriority w:val="99"/>
    <w:unhideWhenUsed/>
    <w:rsid w:val="000D27EA"/>
    <w:rPr>
      <w:color w:val="0000FF"/>
      <w:u w:val="single"/>
    </w:rPr>
  </w:style>
  <w:style w:type="character" w:styleId="FollowedHyperlink">
    <w:name w:val="FollowedHyperlink"/>
    <w:basedOn w:val="DefaultParagraphFont"/>
    <w:uiPriority w:val="99"/>
    <w:semiHidden/>
    <w:unhideWhenUsed/>
    <w:rsid w:val="000D27EA"/>
    <w:rPr>
      <w:color w:val="954F72" w:themeColor="followedHyperlink"/>
      <w:u w:val="single"/>
    </w:rPr>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34"/>
    <w:qFormat/>
    <w:rsid w:val="00C749D5"/>
    <w:rPr>
      <w:rFonts w:ascii="Arial" w:hAnsi="Arial" w:cs="Arial"/>
      <w:color w:val="000000" w:themeColor="text1"/>
      <w:sz w:val="20"/>
      <w:lang w:eastAsia="en-AU"/>
    </w:rPr>
  </w:style>
  <w:style w:type="character" w:styleId="UnresolvedMention">
    <w:name w:val="Unresolved Mention"/>
    <w:basedOn w:val="DefaultParagraphFont"/>
    <w:uiPriority w:val="99"/>
    <w:semiHidden/>
    <w:unhideWhenUsed/>
    <w:rsid w:val="000D27EA"/>
    <w:rPr>
      <w:color w:val="605E5C"/>
      <w:shd w:val="clear" w:color="auto" w:fill="E1DFDD"/>
    </w:rPr>
  </w:style>
  <w:style w:type="character" w:customStyle="1" w:styleId="Heading5Char">
    <w:name w:val="Heading 5 Char"/>
    <w:basedOn w:val="DefaultParagraphFont"/>
    <w:link w:val="Heading5"/>
    <w:rsid w:val="00320AB2"/>
    <w:rPr>
      <w:rFonts w:ascii="Arial" w:eastAsiaTheme="majorEastAsia" w:hAnsi="Arial" w:cstheme="majorBidi"/>
      <w:b/>
      <w:color w:val="000000" w:themeColor="text1"/>
      <w:sz w:val="20"/>
    </w:rPr>
  </w:style>
  <w:style w:type="table" w:styleId="TableGrid">
    <w:name w:val="Table Grid"/>
    <w:basedOn w:val="TableNormal"/>
    <w:uiPriority w:val="59"/>
    <w:rsid w:val="00497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B046F"/>
    <w:pPr>
      <w:tabs>
        <w:tab w:val="right" w:leader="dot" w:pos="9350"/>
      </w:tabs>
      <w:spacing w:after="100"/>
    </w:pPr>
    <w:rPr>
      <w:b/>
      <w:bCs/>
      <w:noProof/>
    </w:rPr>
  </w:style>
  <w:style w:type="paragraph" w:styleId="TOC2">
    <w:name w:val="toc 2"/>
    <w:basedOn w:val="Normal"/>
    <w:next w:val="Normal"/>
    <w:autoRedefine/>
    <w:uiPriority w:val="39"/>
    <w:unhideWhenUsed/>
    <w:rsid w:val="000531DD"/>
    <w:pPr>
      <w:tabs>
        <w:tab w:val="right" w:leader="dot" w:pos="9350"/>
      </w:tabs>
      <w:spacing w:after="100"/>
      <w:ind w:left="200"/>
    </w:pPr>
    <w:rPr>
      <w:b/>
      <w:bCs/>
      <w:noProof/>
    </w:rPr>
  </w:style>
  <w:style w:type="paragraph" w:styleId="Header">
    <w:name w:val="header"/>
    <w:basedOn w:val="Normal"/>
    <w:link w:val="HeaderChar"/>
    <w:uiPriority w:val="99"/>
    <w:unhideWhenUsed/>
    <w:rsid w:val="006F1798"/>
    <w:pPr>
      <w:tabs>
        <w:tab w:val="center" w:pos="4680"/>
        <w:tab w:val="right" w:pos="9360"/>
      </w:tabs>
    </w:pPr>
  </w:style>
  <w:style w:type="character" w:customStyle="1" w:styleId="HeaderChar">
    <w:name w:val="Header Char"/>
    <w:basedOn w:val="DefaultParagraphFont"/>
    <w:link w:val="Header"/>
    <w:uiPriority w:val="99"/>
    <w:rsid w:val="006F1798"/>
    <w:rPr>
      <w:rFonts w:ascii="Arial" w:hAnsi="Arial" w:cs="Arial"/>
      <w:color w:val="000000" w:themeColor="text1"/>
      <w:sz w:val="20"/>
    </w:rPr>
  </w:style>
  <w:style w:type="paragraph" w:styleId="Footer">
    <w:name w:val="footer"/>
    <w:basedOn w:val="Normal"/>
    <w:link w:val="FooterChar"/>
    <w:uiPriority w:val="99"/>
    <w:unhideWhenUsed/>
    <w:rsid w:val="006F1798"/>
    <w:pPr>
      <w:tabs>
        <w:tab w:val="center" w:pos="4680"/>
        <w:tab w:val="right" w:pos="9360"/>
      </w:tabs>
    </w:pPr>
  </w:style>
  <w:style w:type="character" w:customStyle="1" w:styleId="FooterChar">
    <w:name w:val="Footer Char"/>
    <w:basedOn w:val="DefaultParagraphFont"/>
    <w:link w:val="Footer"/>
    <w:uiPriority w:val="99"/>
    <w:rsid w:val="006F1798"/>
    <w:rPr>
      <w:rFonts w:ascii="Arial" w:hAnsi="Arial" w:cs="Arial"/>
      <w:color w:val="000000" w:themeColor="text1"/>
      <w:sz w:val="20"/>
    </w:rPr>
  </w:style>
  <w:style w:type="paragraph" w:customStyle="1" w:styleId="Default">
    <w:name w:val="Default"/>
    <w:rsid w:val="002B5754"/>
    <w:pPr>
      <w:autoSpaceDE w:val="0"/>
      <w:autoSpaceDN w:val="0"/>
      <w:adjustRightInd w:val="0"/>
      <w:spacing w:after="0" w:line="240" w:lineRule="auto"/>
    </w:pPr>
    <w:rPr>
      <w:rFonts w:ascii="Calibri" w:hAnsi="Calibri" w:cs="Calibri"/>
      <w:color w:val="000000"/>
      <w:sz w:val="24"/>
      <w:szCs w:val="24"/>
    </w:rPr>
  </w:style>
  <w:style w:type="character" w:customStyle="1" w:styleId="Heading6Char">
    <w:name w:val="Heading 6 Char"/>
    <w:basedOn w:val="DefaultParagraphFont"/>
    <w:link w:val="Heading6"/>
    <w:uiPriority w:val="9"/>
    <w:rsid w:val="00951ADC"/>
    <w:rPr>
      <w:rFonts w:ascii="Arial" w:eastAsiaTheme="majorEastAsia" w:hAnsi="Arial" w:cstheme="majorBidi"/>
      <w:i/>
      <w:color w:val="000000" w:themeColor="text1"/>
      <w:sz w:val="20"/>
    </w:rPr>
  </w:style>
  <w:style w:type="character" w:customStyle="1" w:styleId="Heading9Char">
    <w:name w:val="Heading 9 Char"/>
    <w:basedOn w:val="DefaultParagraphFont"/>
    <w:link w:val="Heading9"/>
    <w:uiPriority w:val="9"/>
    <w:rsid w:val="00E9601A"/>
    <w:rPr>
      <w:rFonts w:asciiTheme="majorHAnsi" w:eastAsiaTheme="majorEastAsia" w:hAnsiTheme="majorHAnsi" w:cstheme="majorBidi"/>
      <w:i/>
      <w:iCs/>
      <w:color w:val="272727" w:themeColor="text1" w:themeTint="D8"/>
      <w:sz w:val="21"/>
      <w:szCs w:val="21"/>
    </w:rPr>
  </w:style>
  <w:style w:type="paragraph" w:customStyle="1" w:styleId="BoxHeading">
    <w:name w:val="Box Heading"/>
    <w:basedOn w:val="Normal"/>
    <w:uiPriority w:val="20"/>
    <w:rsid w:val="00236CD6"/>
    <w:pPr>
      <w:widowControl/>
      <w:pBdr>
        <w:top w:val="single" w:sz="4" w:space="10" w:color="auto"/>
        <w:left w:val="single" w:sz="4" w:space="10" w:color="auto"/>
        <w:bottom w:val="single" w:sz="4" w:space="10" w:color="auto"/>
        <w:right w:val="single" w:sz="4" w:space="10" w:color="auto"/>
      </w:pBdr>
      <w:autoSpaceDE/>
      <w:autoSpaceDN/>
      <w:spacing w:before="120" w:after="120"/>
      <w:jc w:val="left"/>
    </w:pPr>
    <w:rPr>
      <w:rFonts w:ascii="Cambria" w:hAnsi="Cambria" w:cstheme="minorBidi"/>
      <w:b/>
      <w:color w:val="auto"/>
    </w:rPr>
  </w:style>
  <w:style w:type="character" w:styleId="Strong">
    <w:name w:val="Strong"/>
    <w:basedOn w:val="DefaultParagraphFont"/>
    <w:uiPriority w:val="99"/>
    <w:rsid w:val="006F24E5"/>
    <w:rPr>
      <w:b/>
      <w:bCs/>
    </w:rPr>
  </w:style>
  <w:style w:type="character" w:styleId="CommentReference">
    <w:name w:val="annotation reference"/>
    <w:basedOn w:val="DefaultParagraphFont"/>
    <w:uiPriority w:val="99"/>
    <w:semiHidden/>
    <w:unhideWhenUsed/>
    <w:rsid w:val="00781A7A"/>
    <w:rPr>
      <w:sz w:val="16"/>
      <w:szCs w:val="16"/>
    </w:rPr>
  </w:style>
  <w:style w:type="paragraph" w:styleId="CommentText">
    <w:name w:val="annotation text"/>
    <w:basedOn w:val="Normal"/>
    <w:link w:val="CommentTextChar"/>
    <w:uiPriority w:val="99"/>
    <w:unhideWhenUsed/>
    <w:rsid w:val="00781A7A"/>
    <w:rPr>
      <w:szCs w:val="20"/>
    </w:rPr>
  </w:style>
  <w:style w:type="character" w:customStyle="1" w:styleId="CommentTextChar">
    <w:name w:val="Comment Text Char"/>
    <w:basedOn w:val="DefaultParagraphFont"/>
    <w:link w:val="CommentText"/>
    <w:uiPriority w:val="99"/>
    <w:rsid w:val="00781A7A"/>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81A7A"/>
    <w:rPr>
      <w:b/>
      <w:bCs/>
    </w:rPr>
  </w:style>
  <w:style w:type="character" w:customStyle="1" w:styleId="CommentSubjectChar">
    <w:name w:val="Comment Subject Char"/>
    <w:basedOn w:val="CommentTextChar"/>
    <w:link w:val="CommentSubject"/>
    <w:uiPriority w:val="99"/>
    <w:semiHidden/>
    <w:rsid w:val="00781A7A"/>
    <w:rPr>
      <w:rFonts w:ascii="Arial" w:hAnsi="Arial" w:cs="Arial"/>
      <w:b/>
      <w:bCs/>
      <w:color w:val="000000" w:themeColor="text1"/>
      <w:sz w:val="20"/>
      <w:szCs w:val="20"/>
    </w:rPr>
  </w:style>
  <w:style w:type="paragraph" w:styleId="ListNumber">
    <w:name w:val="List Number"/>
    <w:basedOn w:val="Normal"/>
    <w:uiPriority w:val="9"/>
    <w:rsid w:val="00910CCB"/>
    <w:pPr>
      <w:widowControl/>
      <w:numPr>
        <w:numId w:val="26"/>
      </w:numPr>
      <w:tabs>
        <w:tab w:val="left" w:pos="142"/>
      </w:tabs>
      <w:autoSpaceDE/>
      <w:autoSpaceDN/>
      <w:spacing w:before="120" w:after="120" w:line="276" w:lineRule="auto"/>
      <w:jc w:val="left"/>
    </w:pPr>
    <w:rPr>
      <w:rFonts w:ascii="Cambria" w:hAnsi="Cambria" w:cstheme="minorBidi"/>
      <w:color w:val="auto"/>
      <w:sz w:val="22"/>
    </w:rPr>
  </w:style>
  <w:style w:type="paragraph" w:styleId="ListNumber2">
    <w:name w:val="List Number 2"/>
    <w:uiPriority w:val="10"/>
    <w:rsid w:val="00910CCB"/>
    <w:pPr>
      <w:numPr>
        <w:ilvl w:val="1"/>
        <w:numId w:val="26"/>
      </w:numPr>
      <w:tabs>
        <w:tab w:val="left" w:pos="567"/>
      </w:tabs>
      <w:spacing w:before="120" w:after="120" w:line="264" w:lineRule="auto"/>
    </w:pPr>
    <w:rPr>
      <w:rFonts w:ascii="Cambria" w:eastAsia="Times New Roman" w:hAnsi="Cambria" w:cs="Times New Roman"/>
      <w:szCs w:val="24"/>
    </w:rPr>
  </w:style>
  <w:style w:type="paragraph" w:styleId="ListNumber3">
    <w:name w:val="List Number 3"/>
    <w:uiPriority w:val="11"/>
    <w:rsid w:val="00910CCB"/>
    <w:pPr>
      <w:numPr>
        <w:ilvl w:val="2"/>
        <w:numId w:val="26"/>
      </w:numPr>
      <w:spacing w:before="120" w:after="120" w:line="264" w:lineRule="auto"/>
    </w:pPr>
    <w:rPr>
      <w:rFonts w:ascii="Cambria" w:eastAsia="Times New Roman" w:hAnsi="Cambria" w:cs="Times New Roman"/>
      <w:szCs w:val="24"/>
    </w:rPr>
  </w:style>
  <w:style w:type="numbering" w:customStyle="1" w:styleId="Numberlist">
    <w:name w:val="Number list"/>
    <w:uiPriority w:val="99"/>
    <w:rsid w:val="00910CCB"/>
    <w:pPr>
      <w:numPr>
        <w:numId w:val="26"/>
      </w:numPr>
    </w:pPr>
  </w:style>
  <w:style w:type="paragraph" w:styleId="TOC3">
    <w:name w:val="toc 3"/>
    <w:basedOn w:val="Normal"/>
    <w:next w:val="Normal"/>
    <w:autoRedefine/>
    <w:uiPriority w:val="39"/>
    <w:unhideWhenUsed/>
    <w:rsid w:val="00256600"/>
    <w:pPr>
      <w:spacing w:after="100"/>
      <w:ind w:left="400"/>
    </w:pPr>
  </w:style>
  <w:style w:type="paragraph" w:styleId="BalloonText">
    <w:name w:val="Balloon Text"/>
    <w:basedOn w:val="Normal"/>
    <w:link w:val="BalloonTextChar"/>
    <w:uiPriority w:val="99"/>
    <w:semiHidden/>
    <w:unhideWhenUsed/>
    <w:rsid w:val="00141B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BE6"/>
    <w:rPr>
      <w:rFonts w:ascii="Segoe UI" w:hAnsi="Segoe UI" w:cs="Segoe UI"/>
      <w:color w:val="000000" w:themeColor="text1"/>
      <w:sz w:val="18"/>
      <w:szCs w:val="18"/>
    </w:rPr>
  </w:style>
  <w:style w:type="paragraph" w:styleId="Revision">
    <w:name w:val="Revision"/>
    <w:hidden/>
    <w:uiPriority w:val="99"/>
    <w:semiHidden/>
    <w:rsid w:val="002B38F5"/>
    <w:pPr>
      <w:spacing w:after="0" w:line="240" w:lineRule="auto"/>
    </w:pPr>
    <w:rPr>
      <w:rFonts w:ascii="Arial" w:hAnsi="Arial" w:cs="Arial"/>
      <w:color w:val="000000" w:themeColor="text1"/>
      <w:sz w:val="20"/>
    </w:rPr>
  </w:style>
  <w:style w:type="paragraph" w:customStyle="1" w:styleId="Tableheadings">
    <w:name w:val="Table headings"/>
    <w:basedOn w:val="BodyText"/>
    <w:link w:val="TableheadingsChar"/>
    <w:qFormat/>
    <w:rsid w:val="004B2693"/>
    <w:pPr>
      <w:widowControl/>
      <w:autoSpaceDE/>
      <w:autoSpaceDN/>
      <w:spacing w:before="120"/>
    </w:pPr>
    <w:rPr>
      <w:rFonts w:ascii="Century Gothic" w:eastAsia="Century Gothic" w:hAnsi="Century Gothic" w:cs="Century Gothic"/>
      <w:b/>
      <w:color w:val="00843D"/>
      <w:sz w:val="24"/>
      <w:lang w:eastAsia="en-AU" w:bidi="en-US"/>
    </w:rPr>
  </w:style>
  <w:style w:type="character" w:customStyle="1" w:styleId="TableheadingsChar">
    <w:name w:val="Table headings Char"/>
    <w:basedOn w:val="BodyTextChar"/>
    <w:link w:val="Tableheadings"/>
    <w:rsid w:val="004B2693"/>
    <w:rPr>
      <w:rFonts w:ascii="Century Gothic" w:eastAsia="Century Gothic" w:hAnsi="Century Gothic" w:cs="Century Gothic"/>
      <w:b/>
      <w:color w:val="00843D"/>
      <w:sz w:val="24"/>
      <w:szCs w:val="20"/>
      <w:lang w:eastAsia="en-AU"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3718">
      <w:bodyDiv w:val="1"/>
      <w:marLeft w:val="0"/>
      <w:marRight w:val="0"/>
      <w:marTop w:val="0"/>
      <w:marBottom w:val="0"/>
      <w:divBdr>
        <w:top w:val="none" w:sz="0" w:space="0" w:color="auto"/>
        <w:left w:val="none" w:sz="0" w:space="0" w:color="auto"/>
        <w:bottom w:val="none" w:sz="0" w:space="0" w:color="auto"/>
        <w:right w:val="none" w:sz="0" w:space="0" w:color="auto"/>
      </w:divBdr>
    </w:div>
    <w:div w:id="29384793">
      <w:bodyDiv w:val="1"/>
      <w:marLeft w:val="0"/>
      <w:marRight w:val="0"/>
      <w:marTop w:val="0"/>
      <w:marBottom w:val="0"/>
      <w:divBdr>
        <w:top w:val="none" w:sz="0" w:space="0" w:color="auto"/>
        <w:left w:val="none" w:sz="0" w:space="0" w:color="auto"/>
        <w:bottom w:val="none" w:sz="0" w:space="0" w:color="auto"/>
        <w:right w:val="none" w:sz="0" w:space="0" w:color="auto"/>
      </w:divBdr>
    </w:div>
    <w:div w:id="199630456">
      <w:bodyDiv w:val="1"/>
      <w:marLeft w:val="0"/>
      <w:marRight w:val="0"/>
      <w:marTop w:val="0"/>
      <w:marBottom w:val="0"/>
      <w:divBdr>
        <w:top w:val="none" w:sz="0" w:space="0" w:color="auto"/>
        <w:left w:val="none" w:sz="0" w:space="0" w:color="auto"/>
        <w:bottom w:val="none" w:sz="0" w:space="0" w:color="auto"/>
        <w:right w:val="none" w:sz="0" w:space="0" w:color="auto"/>
      </w:divBdr>
    </w:div>
    <w:div w:id="230968695">
      <w:bodyDiv w:val="1"/>
      <w:marLeft w:val="0"/>
      <w:marRight w:val="0"/>
      <w:marTop w:val="0"/>
      <w:marBottom w:val="0"/>
      <w:divBdr>
        <w:top w:val="none" w:sz="0" w:space="0" w:color="auto"/>
        <w:left w:val="none" w:sz="0" w:space="0" w:color="auto"/>
        <w:bottom w:val="none" w:sz="0" w:space="0" w:color="auto"/>
        <w:right w:val="none" w:sz="0" w:space="0" w:color="auto"/>
      </w:divBdr>
    </w:div>
    <w:div w:id="277226792">
      <w:bodyDiv w:val="1"/>
      <w:marLeft w:val="0"/>
      <w:marRight w:val="0"/>
      <w:marTop w:val="0"/>
      <w:marBottom w:val="0"/>
      <w:divBdr>
        <w:top w:val="none" w:sz="0" w:space="0" w:color="auto"/>
        <w:left w:val="none" w:sz="0" w:space="0" w:color="auto"/>
        <w:bottom w:val="none" w:sz="0" w:space="0" w:color="auto"/>
        <w:right w:val="none" w:sz="0" w:space="0" w:color="auto"/>
      </w:divBdr>
    </w:div>
    <w:div w:id="382028489">
      <w:bodyDiv w:val="1"/>
      <w:marLeft w:val="0"/>
      <w:marRight w:val="0"/>
      <w:marTop w:val="0"/>
      <w:marBottom w:val="0"/>
      <w:divBdr>
        <w:top w:val="none" w:sz="0" w:space="0" w:color="auto"/>
        <w:left w:val="none" w:sz="0" w:space="0" w:color="auto"/>
        <w:bottom w:val="none" w:sz="0" w:space="0" w:color="auto"/>
        <w:right w:val="none" w:sz="0" w:space="0" w:color="auto"/>
      </w:divBdr>
    </w:div>
    <w:div w:id="466748560">
      <w:bodyDiv w:val="1"/>
      <w:marLeft w:val="0"/>
      <w:marRight w:val="0"/>
      <w:marTop w:val="0"/>
      <w:marBottom w:val="0"/>
      <w:divBdr>
        <w:top w:val="none" w:sz="0" w:space="0" w:color="auto"/>
        <w:left w:val="none" w:sz="0" w:space="0" w:color="auto"/>
        <w:bottom w:val="none" w:sz="0" w:space="0" w:color="auto"/>
        <w:right w:val="none" w:sz="0" w:space="0" w:color="auto"/>
      </w:divBdr>
    </w:div>
    <w:div w:id="536698234">
      <w:bodyDiv w:val="1"/>
      <w:marLeft w:val="0"/>
      <w:marRight w:val="0"/>
      <w:marTop w:val="0"/>
      <w:marBottom w:val="0"/>
      <w:divBdr>
        <w:top w:val="none" w:sz="0" w:space="0" w:color="auto"/>
        <w:left w:val="none" w:sz="0" w:space="0" w:color="auto"/>
        <w:bottom w:val="none" w:sz="0" w:space="0" w:color="auto"/>
        <w:right w:val="none" w:sz="0" w:space="0" w:color="auto"/>
      </w:divBdr>
    </w:div>
    <w:div w:id="627589232">
      <w:bodyDiv w:val="1"/>
      <w:marLeft w:val="0"/>
      <w:marRight w:val="0"/>
      <w:marTop w:val="0"/>
      <w:marBottom w:val="0"/>
      <w:divBdr>
        <w:top w:val="none" w:sz="0" w:space="0" w:color="auto"/>
        <w:left w:val="none" w:sz="0" w:space="0" w:color="auto"/>
        <w:bottom w:val="none" w:sz="0" w:space="0" w:color="auto"/>
        <w:right w:val="none" w:sz="0" w:space="0" w:color="auto"/>
      </w:divBdr>
    </w:div>
    <w:div w:id="712577457">
      <w:bodyDiv w:val="1"/>
      <w:marLeft w:val="0"/>
      <w:marRight w:val="0"/>
      <w:marTop w:val="0"/>
      <w:marBottom w:val="0"/>
      <w:divBdr>
        <w:top w:val="none" w:sz="0" w:space="0" w:color="auto"/>
        <w:left w:val="none" w:sz="0" w:space="0" w:color="auto"/>
        <w:bottom w:val="none" w:sz="0" w:space="0" w:color="auto"/>
        <w:right w:val="none" w:sz="0" w:space="0" w:color="auto"/>
      </w:divBdr>
    </w:div>
    <w:div w:id="750004793">
      <w:bodyDiv w:val="1"/>
      <w:marLeft w:val="0"/>
      <w:marRight w:val="0"/>
      <w:marTop w:val="0"/>
      <w:marBottom w:val="0"/>
      <w:divBdr>
        <w:top w:val="none" w:sz="0" w:space="0" w:color="auto"/>
        <w:left w:val="none" w:sz="0" w:space="0" w:color="auto"/>
        <w:bottom w:val="none" w:sz="0" w:space="0" w:color="auto"/>
        <w:right w:val="none" w:sz="0" w:space="0" w:color="auto"/>
      </w:divBdr>
    </w:div>
    <w:div w:id="883255730">
      <w:bodyDiv w:val="1"/>
      <w:marLeft w:val="0"/>
      <w:marRight w:val="0"/>
      <w:marTop w:val="0"/>
      <w:marBottom w:val="0"/>
      <w:divBdr>
        <w:top w:val="none" w:sz="0" w:space="0" w:color="auto"/>
        <w:left w:val="none" w:sz="0" w:space="0" w:color="auto"/>
        <w:bottom w:val="none" w:sz="0" w:space="0" w:color="auto"/>
        <w:right w:val="none" w:sz="0" w:space="0" w:color="auto"/>
      </w:divBdr>
      <w:divsChild>
        <w:div w:id="462844783">
          <w:marLeft w:val="0"/>
          <w:marRight w:val="0"/>
          <w:marTop w:val="0"/>
          <w:marBottom w:val="0"/>
          <w:divBdr>
            <w:top w:val="none" w:sz="0" w:space="0" w:color="auto"/>
            <w:left w:val="none" w:sz="0" w:space="0" w:color="auto"/>
            <w:bottom w:val="none" w:sz="0" w:space="0" w:color="auto"/>
            <w:right w:val="none" w:sz="0" w:space="0" w:color="auto"/>
          </w:divBdr>
          <w:divsChild>
            <w:div w:id="246305024">
              <w:marLeft w:val="0"/>
              <w:marRight w:val="0"/>
              <w:marTop w:val="0"/>
              <w:marBottom w:val="0"/>
              <w:divBdr>
                <w:top w:val="none" w:sz="0" w:space="0" w:color="auto"/>
                <w:left w:val="none" w:sz="0" w:space="0" w:color="auto"/>
                <w:bottom w:val="none" w:sz="0" w:space="0" w:color="auto"/>
                <w:right w:val="none" w:sz="0" w:space="0" w:color="auto"/>
              </w:divBdr>
              <w:divsChild>
                <w:div w:id="1317494027">
                  <w:marLeft w:val="0"/>
                  <w:marRight w:val="0"/>
                  <w:marTop w:val="0"/>
                  <w:marBottom w:val="0"/>
                  <w:divBdr>
                    <w:top w:val="none" w:sz="0" w:space="0" w:color="auto"/>
                    <w:left w:val="none" w:sz="0" w:space="0" w:color="auto"/>
                    <w:bottom w:val="none" w:sz="0" w:space="0" w:color="auto"/>
                    <w:right w:val="none" w:sz="0" w:space="0" w:color="auto"/>
                  </w:divBdr>
                  <w:divsChild>
                    <w:div w:id="480773346">
                      <w:marLeft w:val="0"/>
                      <w:marRight w:val="0"/>
                      <w:marTop w:val="0"/>
                      <w:marBottom w:val="300"/>
                      <w:divBdr>
                        <w:top w:val="none" w:sz="0" w:space="0" w:color="auto"/>
                        <w:left w:val="none" w:sz="0" w:space="0" w:color="auto"/>
                        <w:bottom w:val="none" w:sz="0" w:space="0" w:color="auto"/>
                        <w:right w:val="none" w:sz="0" w:space="0" w:color="auto"/>
                      </w:divBdr>
                      <w:divsChild>
                        <w:div w:id="1110316324">
                          <w:marLeft w:val="0"/>
                          <w:marRight w:val="0"/>
                          <w:marTop w:val="0"/>
                          <w:marBottom w:val="0"/>
                          <w:divBdr>
                            <w:top w:val="none" w:sz="0" w:space="0" w:color="auto"/>
                            <w:left w:val="none" w:sz="0" w:space="0" w:color="auto"/>
                            <w:bottom w:val="none" w:sz="0" w:space="0" w:color="auto"/>
                            <w:right w:val="none" w:sz="0" w:space="0" w:color="auto"/>
                          </w:divBdr>
                        </w:div>
                      </w:divsChild>
                    </w:div>
                    <w:div w:id="1838687410">
                      <w:marLeft w:val="0"/>
                      <w:marRight w:val="0"/>
                      <w:marTop w:val="0"/>
                      <w:marBottom w:val="0"/>
                      <w:divBdr>
                        <w:top w:val="none" w:sz="0" w:space="0" w:color="auto"/>
                        <w:left w:val="none" w:sz="0" w:space="0" w:color="auto"/>
                        <w:bottom w:val="none" w:sz="0" w:space="0" w:color="auto"/>
                        <w:right w:val="none" w:sz="0" w:space="0" w:color="auto"/>
                      </w:divBdr>
                      <w:divsChild>
                        <w:div w:id="142687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489377">
          <w:marLeft w:val="0"/>
          <w:marRight w:val="0"/>
          <w:marTop w:val="0"/>
          <w:marBottom w:val="0"/>
          <w:divBdr>
            <w:top w:val="none" w:sz="0" w:space="0" w:color="auto"/>
            <w:left w:val="none" w:sz="0" w:space="0" w:color="auto"/>
            <w:bottom w:val="none" w:sz="0" w:space="0" w:color="auto"/>
            <w:right w:val="none" w:sz="0" w:space="0" w:color="auto"/>
          </w:divBdr>
          <w:divsChild>
            <w:div w:id="1338312790">
              <w:marLeft w:val="0"/>
              <w:marRight w:val="0"/>
              <w:marTop w:val="0"/>
              <w:marBottom w:val="0"/>
              <w:divBdr>
                <w:top w:val="none" w:sz="0" w:space="0" w:color="auto"/>
                <w:left w:val="none" w:sz="0" w:space="0" w:color="auto"/>
                <w:bottom w:val="none" w:sz="0" w:space="0" w:color="auto"/>
                <w:right w:val="none" w:sz="0" w:space="0" w:color="auto"/>
              </w:divBdr>
              <w:divsChild>
                <w:div w:id="385955309">
                  <w:marLeft w:val="0"/>
                  <w:marRight w:val="0"/>
                  <w:marTop w:val="0"/>
                  <w:marBottom w:val="0"/>
                  <w:divBdr>
                    <w:top w:val="none" w:sz="0" w:space="0" w:color="auto"/>
                    <w:left w:val="none" w:sz="0" w:space="0" w:color="auto"/>
                    <w:bottom w:val="none" w:sz="0" w:space="0" w:color="auto"/>
                    <w:right w:val="none" w:sz="0" w:space="0" w:color="auto"/>
                  </w:divBdr>
                  <w:divsChild>
                    <w:div w:id="1547109744">
                      <w:marLeft w:val="0"/>
                      <w:marRight w:val="0"/>
                      <w:marTop w:val="0"/>
                      <w:marBottom w:val="300"/>
                      <w:divBdr>
                        <w:top w:val="none" w:sz="0" w:space="0" w:color="auto"/>
                        <w:left w:val="none" w:sz="0" w:space="0" w:color="auto"/>
                        <w:bottom w:val="none" w:sz="0" w:space="0" w:color="auto"/>
                        <w:right w:val="none" w:sz="0" w:space="0" w:color="auto"/>
                      </w:divBdr>
                      <w:divsChild>
                        <w:div w:id="388892361">
                          <w:marLeft w:val="0"/>
                          <w:marRight w:val="0"/>
                          <w:marTop w:val="0"/>
                          <w:marBottom w:val="0"/>
                          <w:divBdr>
                            <w:top w:val="none" w:sz="0" w:space="0" w:color="auto"/>
                            <w:left w:val="none" w:sz="0" w:space="0" w:color="auto"/>
                            <w:bottom w:val="none" w:sz="0" w:space="0" w:color="auto"/>
                            <w:right w:val="none" w:sz="0" w:space="0" w:color="auto"/>
                          </w:divBdr>
                        </w:div>
                      </w:divsChild>
                    </w:div>
                    <w:div w:id="1698313921">
                      <w:marLeft w:val="0"/>
                      <w:marRight w:val="0"/>
                      <w:marTop w:val="0"/>
                      <w:marBottom w:val="0"/>
                      <w:divBdr>
                        <w:top w:val="none" w:sz="0" w:space="0" w:color="auto"/>
                        <w:left w:val="none" w:sz="0" w:space="0" w:color="auto"/>
                        <w:bottom w:val="none" w:sz="0" w:space="0" w:color="auto"/>
                        <w:right w:val="none" w:sz="0" w:space="0" w:color="auto"/>
                      </w:divBdr>
                      <w:divsChild>
                        <w:div w:id="39309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93660">
          <w:marLeft w:val="0"/>
          <w:marRight w:val="0"/>
          <w:marTop w:val="0"/>
          <w:marBottom w:val="0"/>
          <w:divBdr>
            <w:top w:val="none" w:sz="0" w:space="0" w:color="auto"/>
            <w:left w:val="none" w:sz="0" w:space="0" w:color="auto"/>
            <w:bottom w:val="none" w:sz="0" w:space="0" w:color="auto"/>
            <w:right w:val="none" w:sz="0" w:space="0" w:color="auto"/>
          </w:divBdr>
          <w:divsChild>
            <w:div w:id="1350792726">
              <w:marLeft w:val="0"/>
              <w:marRight w:val="0"/>
              <w:marTop w:val="0"/>
              <w:marBottom w:val="0"/>
              <w:divBdr>
                <w:top w:val="none" w:sz="0" w:space="0" w:color="auto"/>
                <w:left w:val="none" w:sz="0" w:space="0" w:color="auto"/>
                <w:bottom w:val="none" w:sz="0" w:space="0" w:color="auto"/>
                <w:right w:val="none" w:sz="0" w:space="0" w:color="auto"/>
              </w:divBdr>
              <w:divsChild>
                <w:div w:id="169955149">
                  <w:marLeft w:val="0"/>
                  <w:marRight w:val="0"/>
                  <w:marTop w:val="0"/>
                  <w:marBottom w:val="0"/>
                  <w:divBdr>
                    <w:top w:val="none" w:sz="0" w:space="0" w:color="auto"/>
                    <w:left w:val="none" w:sz="0" w:space="0" w:color="auto"/>
                    <w:bottom w:val="none" w:sz="0" w:space="0" w:color="auto"/>
                    <w:right w:val="none" w:sz="0" w:space="0" w:color="auto"/>
                  </w:divBdr>
                  <w:divsChild>
                    <w:div w:id="1017077441">
                      <w:marLeft w:val="0"/>
                      <w:marRight w:val="0"/>
                      <w:marTop w:val="0"/>
                      <w:marBottom w:val="300"/>
                      <w:divBdr>
                        <w:top w:val="none" w:sz="0" w:space="0" w:color="auto"/>
                        <w:left w:val="none" w:sz="0" w:space="0" w:color="auto"/>
                        <w:bottom w:val="none" w:sz="0" w:space="0" w:color="auto"/>
                        <w:right w:val="none" w:sz="0" w:space="0" w:color="auto"/>
                      </w:divBdr>
                      <w:divsChild>
                        <w:div w:id="1430464253">
                          <w:marLeft w:val="0"/>
                          <w:marRight w:val="0"/>
                          <w:marTop w:val="0"/>
                          <w:marBottom w:val="0"/>
                          <w:divBdr>
                            <w:top w:val="none" w:sz="0" w:space="0" w:color="auto"/>
                            <w:left w:val="none" w:sz="0" w:space="0" w:color="auto"/>
                            <w:bottom w:val="none" w:sz="0" w:space="0" w:color="auto"/>
                            <w:right w:val="none" w:sz="0" w:space="0" w:color="auto"/>
                          </w:divBdr>
                        </w:div>
                      </w:divsChild>
                    </w:div>
                    <w:div w:id="1982734248">
                      <w:marLeft w:val="0"/>
                      <w:marRight w:val="0"/>
                      <w:marTop w:val="0"/>
                      <w:marBottom w:val="0"/>
                      <w:divBdr>
                        <w:top w:val="none" w:sz="0" w:space="0" w:color="auto"/>
                        <w:left w:val="none" w:sz="0" w:space="0" w:color="auto"/>
                        <w:bottom w:val="none" w:sz="0" w:space="0" w:color="auto"/>
                        <w:right w:val="none" w:sz="0" w:space="0" w:color="auto"/>
                      </w:divBdr>
                      <w:divsChild>
                        <w:div w:id="9752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706364">
          <w:marLeft w:val="0"/>
          <w:marRight w:val="0"/>
          <w:marTop w:val="0"/>
          <w:marBottom w:val="0"/>
          <w:divBdr>
            <w:top w:val="none" w:sz="0" w:space="0" w:color="auto"/>
            <w:left w:val="none" w:sz="0" w:space="0" w:color="auto"/>
            <w:bottom w:val="none" w:sz="0" w:space="0" w:color="auto"/>
            <w:right w:val="none" w:sz="0" w:space="0" w:color="auto"/>
          </w:divBdr>
          <w:divsChild>
            <w:div w:id="811749931">
              <w:marLeft w:val="0"/>
              <w:marRight w:val="0"/>
              <w:marTop w:val="0"/>
              <w:marBottom w:val="0"/>
              <w:divBdr>
                <w:top w:val="none" w:sz="0" w:space="0" w:color="auto"/>
                <w:left w:val="none" w:sz="0" w:space="0" w:color="auto"/>
                <w:bottom w:val="none" w:sz="0" w:space="0" w:color="auto"/>
                <w:right w:val="none" w:sz="0" w:space="0" w:color="auto"/>
              </w:divBdr>
              <w:divsChild>
                <w:div w:id="1525484432">
                  <w:marLeft w:val="0"/>
                  <w:marRight w:val="0"/>
                  <w:marTop w:val="0"/>
                  <w:marBottom w:val="0"/>
                  <w:divBdr>
                    <w:top w:val="none" w:sz="0" w:space="0" w:color="auto"/>
                    <w:left w:val="none" w:sz="0" w:space="0" w:color="auto"/>
                    <w:bottom w:val="none" w:sz="0" w:space="0" w:color="auto"/>
                    <w:right w:val="none" w:sz="0" w:space="0" w:color="auto"/>
                  </w:divBdr>
                  <w:divsChild>
                    <w:div w:id="1025985783">
                      <w:marLeft w:val="0"/>
                      <w:marRight w:val="0"/>
                      <w:marTop w:val="0"/>
                      <w:marBottom w:val="300"/>
                      <w:divBdr>
                        <w:top w:val="none" w:sz="0" w:space="0" w:color="auto"/>
                        <w:left w:val="none" w:sz="0" w:space="0" w:color="auto"/>
                        <w:bottom w:val="none" w:sz="0" w:space="0" w:color="auto"/>
                        <w:right w:val="none" w:sz="0" w:space="0" w:color="auto"/>
                      </w:divBdr>
                      <w:divsChild>
                        <w:div w:id="2071809892">
                          <w:marLeft w:val="0"/>
                          <w:marRight w:val="0"/>
                          <w:marTop w:val="0"/>
                          <w:marBottom w:val="0"/>
                          <w:divBdr>
                            <w:top w:val="none" w:sz="0" w:space="0" w:color="auto"/>
                            <w:left w:val="none" w:sz="0" w:space="0" w:color="auto"/>
                            <w:bottom w:val="none" w:sz="0" w:space="0" w:color="auto"/>
                            <w:right w:val="none" w:sz="0" w:space="0" w:color="auto"/>
                          </w:divBdr>
                        </w:div>
                      </w:divsChild>
                    </w:div>
                    <w:div w:id="1158227900">
                      <w:marLeft w:val="0"/>
                      <w:marRight w:val="0"/>
                      <w:marTop w:val="0"/>
                      <w:marBottom w:val="0"/>
                      <w:divBdr>
                        <w:top w:val="none" w:sz="0" w:space="0" w:color="auto"/>
                        <w:left w:val="none" w:sz="0" w:space="0" w:color="auto"/>
                        <w:bottom w:val="none" w:sz="0" w:space="0" w:color="auto"/>
                        <w:right w:val="none" w:sz="0" w:space="0" w:color="auto"/>
                      </w:divBdr>
                      <w:divsChild>
                        <w:div w:id="12370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960495">
          <w:marLeft w:val="0"/>
          <w:marRight w:val="0"/>
          <w:marTop w:val="0"/>
          <w:marBottom w:val="0"/>
          <w:divBdr>
            <w:top w:val="none" w:sz="0" w:space="0" w:color="auto"/>
            <w:left w:val="none" w:sz="0" w:space="0" w:color="auto"/>
            <w:bottom w:val="none" w:sz="0" w:space="0" w:color="auto"/>
            <w:right w:val="none" w:sz="0" w:space="0" w:color="auto"/>
          </w:divBdr>
          <w:divsChild>
            <w:div w:id="2136631740">
              <w:marLeft w:val="0"/>
              <w:marRight w:val="0"/>
              <w:marTop w:val="0"/>
              <w:marBottom w:val="0"/>
              <w:divBdr>
                <w:top w:val="none" w:sz="0" w:space="0" w:color="auto"/>
                <w:left w:val="none" w:sz="0" w:space="0" w:color="auto"/>
                <w:bottom w:val="none" w:sz="0" w:space="0" w:color="auto"/>
                <w:right w:val="none" w:sz="0" w:space="0" w:color="auto"/>
              </w:divBdr>
              <w:divsChild>
                <w:div w:id="1550997930">
                  <w:marLeft w:val="0"/>
                  <w:marRight w:val="0"/>
                  <w:marTop w:val="0"/>
                  <w:marBottom w:val="0"/>
                  <w:divBdr>
                    <w:top w:val="none" w:sz="0" w:space="0" w:color="auto"/>
                    <w:left w:val="none" w:sz="0" w:space="0" w:color="auto"/>
                    <w:bottom w:val="none" w:sz="0" w:space="0" w:color="auto"/>
                    <w:right w:val="none" w:sz="0" w:space="0" w:color="auto"/>
                  </w:divBdr>
                  <w:divsChild>
                    <w:div w:id="1063020145">
                      <w:marLeft w:val="0"/>
                      <w:marRight w:val="0"/>
                      <w:marTop w:val="0"/>
                      <w:marBottom w:val="300"/>
                      <w:divBdr>
                        <w:top w:val="none" w:sz="0" w:space="0" w:color="auto"/>
                        <w:left w:val="none" w:sz="0" w:space="0" w:color="auto"/>
                        <w:bottom w:val="none" w:sz="0" w:space="0" w:color="auto"/>
                        <w:right w:val="none" w:sz="0" w:space="0" w:color="auto"/>
                      </w:divBdr>
                      <w:divsChild>
                        <w:div w:id="1170488516">
                          <w:marLeft w:val="0"/>
                          <w:marRight w:val="0"/>
                          <w:marTop w:val="0"/>
                          <w:marBottom w:val="0"/>
                          <w:divBdr>
                            <w:top w:val="none" w:sz="0" w:space="0" w:color="auto"/>
                            <w:left w:val="none" w:sz="0" w:space="0" w:color="auto"/>
                            <w:bottom w:val="none" w:sz="0" w:space="0" w:color="auto"/>
                            <w:right w:val="none" w:sz="0" w:space="0" w:color="auto"/>
                          </w:divBdr>
                        </w:div>
                      </w:divsChild>
                    </w:div>
                    <w:div w:id="64451041">
                      <w:marLeft w:val="0"/>
                      <w:marRight w:val="0"/>
                      <w:marTop w:val="0"/>
                      <w:marBottom w:val="0"/>
                      <w:divBdr>
                        <w:top w:val="none" w:sz="0" w:space="0" w:color="auto"/>
                        <w:left w:val="none" w:sz="0" w:space="0" w:color="auto"/>
                        <w:bottom w:val="none" w:sz="0" w:space="0" w:color="auto"/>
                        <w:right w:val="none" w:sz="0" w:space="0" w:color="auto"/>
                      </w:divBdr>
                      <w:divsChild>
                        <w:div w:id="7912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61251">
          <w:marLeft w:val="0"/>
          <w:marRight w:val="0"/>
          <w:marTop w:val="0"/>
          <w:marBottom w:val="0"/>
          <w:divBdr>
            <w:top w:val="none" w:sz="0" w:space="0" w:color="auto"/>
            <w:left w:val="none" w:sz="0" w:space="0" w:color="auto"/>
            <w:bottom w:val="none" w:sz="0" w:space="0" w:color="auto"/>
            <w:right w:val="none" w:sz="0" w:space="0" w:color="auto"/>
          </w:divBdr>
          <w:divsChild>
            <w:div w:id="891884522">
              <w:marLeft w:val="0"/>
              <w:marRight w:val="0"/>
              <w:marTop w:val="0"/>
              <w:marBottom w:val="0"/>
              <w:divBdr>
                <w:top w:val="none" w:sz="0" w:space="0" w:color="auto"/>
                <w:left w:val="none" w:sz="0" w:space="0" w:color="auto"/>
                <w:bottom w:val="none" w:sz="0" w:space="0" w:color="auto"/>
                <w:right w:val="none" w:sz="0" w:space="0" w:color="auto"/>
              </w:divBdr>
              <w:divsChild>
                <w:div w:id="877621404">
                  <w:marLeft w:val="0"/>
                  <w:marRight w:val="0"/>
                  <w:marTop w:val="0"/>
                  <w:marBottom w:val="0"/>
                  <w:divBdr>
                    <w:top w:val="none" w:sz="0" w:space="0" w:color="auto"/>
                    <w:left w:val="none" w:sz="0" w:space="0" w:color="auto"/>
                    <w:bottom w:val="none" w:sz="0" w:space="0" w:color="auto"/>
                    <w:right w:val="none" w:sz="0" w:space="0" w:color="auto"/>
                  </w:divBdr>
                  <w:divsChild>
                    <w:div w:id="1256280310">
                      <w:marLeft w:val="0"/>
                      <w:marRight w:val="0"/>
                      <w:marTop w:val="0"/>
                      <w:marBottom w:val="300"/>
                      <w:divBdr>
                        <w:top w:val="none" w:sz="0" w:space="0" w:color="auto"/>
                        <w:left w:val="none" w:sz="0" w:space="0" w:color="auto"/>
                        <w:bottom w:val="none" w:sz="0" w:space="0" w:color="auto"/>
                        <w:right w:val="none" w:sz="0" w:space="0" w:color="auto"/>
                      </w:divBdr>
                      <w:divsChild>
                        <w:div w:id="2143452884">
                          <w:marLeft w:val="0"/>
                          <w:marRight w:val="0"/>
                          <w:marTop w:val="0"/>
                          <w:marBottom w:val="0"/>
                          <w:divBdr>
                            <w:top w:val="none" w:sz="0" w:space="0" w:color="auto"/>
                            <w:left w:val="none" w:sz="0" w:space="0" w:color="auto"/>
                            <w:bottom w:val="none" w:sz="0" w:space="0" w:color="auto"/>
                            <w:right w:val="none" w:sz="0" w:space="0" w:color="auto"/>
                          </w:divBdr>
                        </w:div>
                      </w:divsChild>
                    </w:div>
                    <w:div w:id="1632129271">
                      <w:marLeft w:val="0"/>
                      <w:marRight w:val="0"/>
                      <w:marTop w:val="0"/>
                      <w:marBottom w:val="0"/>
                      <w:divBdr>
                        <w:top w:val="none" w:sz="0" w:space="0" w:color="auto"/>
                        <w:left w:val="none" w:sz="0" w:space="0" w:color="auto"/>
                        <w:bottom w:val="none" w:sz="0" w:space="0" w:color="auto"/>
                        <w:right w:val="none" w:sz="0" w:space="0" w:color="auto"/>
                      </w:divBdr>
                      <w:divsChild>
                        <w:div w:id="1835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334024">
          <w:marLeft w:val="0"/>
          <w:marRight w:val="0"/>
          <w:marTop w:val="0"/>
          <w:marBottom w:val="0"/>
          <w:divBdr>
            <w:top w:val="none" w:sz="0" w:space="0" w:color="auto"/>
            <w:left w:val="none" w:sz="0" w:space="0" w:color="auto"/>
            <w:bottom w:val="none" w:sz="0" w:space="0" w:color="auto"/>
            <w:right w:val="none" w:sz="0" w:space="0" w:color="auto"/>
          </w:divBdr>
          <w:divsChild>
            <w:div w:id="1197695219">
              <w:marLeft w:val="0"/>
              <w:marRight w:val="0"/>
              <w:marTop w:val="0"/>
              <w:marBottom w:val="0"/>
              <w:divBdr>
                <w:top w:val="none" w:sz="0" w:space="0" w:color="auto"/>
                <w:left w:val="none" w:sz="0" w:space="0" w:color="auto"/>
                <w:bottom w:val="none" w:sz="0" w:space="0" w:color="auto"/>
                <w:right w:val="none" w:sz="0" w:space="0" w:color="auto"/>
              </w:divBdr>
              <w:divsChild>
                <w:div w:id="118687136">
                  <w:marLeft w:val="0"/>
                  <w:marRight w:val="0"/>
                  <w:marTop w:val="0"/>
                  <w:marBottom w:val="0"/>
                  <w:divBdr>
                    <w:top w:val="none" w:sz="0" w:space="0" w:color="auto"/>
                    <w:left w:val="none" w:sz="0" w:space="0" w:color="auto"/>
                    <w:bottom w:val="none" w:sz="0" w:space="0" w:color="auto"/>
                    <w:right w:val="none" w:sz="0" w:space="0" w:color="auto"/>
                  </w:divBdr>
                  <w:divsChild>
                    <w:div w:id="766266452">
                      <w:marLeft w:val="0"/>
                      <w:marRight w:val="0"/>
                      <w:marTop w:val="0"/>
                      <w:marBottom w:val="300"/>
                      <w:divBdr>
                        <w:top w:val="none" w:sz="0" w:space="0" w:color="auto"/>
                        <w:left w:val="none" w:sz="0" w:space="0" w:color="auto"/>
                        <w:bottom w:val="none" w:sz="0" w:space="0" w:color="auto"/>
                        <w:right w:val="none" w:sz="0" w:space="0" w:color="auto"/>
                      </w:divBdr>
                      <w:divsChild>
                        <w:div w:id="2091198685">
                          <w:marLeft w:val="0"/>
                          <w:marRight w:val="0"/>
                          <w:marTop w:val="0"/>
                          <w:marBottom w:val="0"/>
                          <w:divBdr>
                            <w:top w:val="none" w:sz="0" w:space="0" w:color="auto"/>
                            <w:left w:val="none" w:sz="0" w:space="0" w:color="auto"/>
                            <w:bottom w:val="none" w:sz="0" w:space="0" w:color="auto"/>
                            <w:right w:val="none" w:sz="0" w:space="0" w:color="auto"/>
                          </w:divBdr>
                        </w:div>
                      </w:divsChild>
                    </w:div>
                    <w:div w:id="607584740">
                      <w:marLeft w:val="0"/>
                      <w:marRight w:val="0"/>
                      <w:marTop w:val="0"/>
                      <w:marBottom w:val="0"/>
                      <w:divBdr>
                        <w:top w:val="none" w:sz="0" w:space="0" w:color="auto"/>
                        <w:left w:val="none" w:sz="0" w:space="0" w:color="auto"/>
                        <w:bottom w:val="none" w:sz="0" w:space="0" w:color="auto"/>
                        <w:right w:val="none" w:sz="0" w:space="0" w:color="auto"/>
                      </w:divBdr>
                      <w:divsChild>
                        <w:div w:id="16055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89307">
          <w:marLeft w:val="0"/>
          <w:marRight w:val="0"/>
          <w:marTop w:val="0"/>
          <w:marBottom w:val="0"/>
          <w:divBdr>
            <w:top w:val="none" w:sz="0" w:space="0" w:color="auto"/>
            <w:left w:val="none" w:sz="0" w:space="0" w:color="auto"/>
            <w:bottom w:val="none" w:sz="0" w:space="0" w:color="auto"/>
            <w:right w:val="none" w:sz="0" w:space="0" w:color="auto"/>
          </w:divBdr>
          <w:divsChild>
            <w:div w:id="1287083468">
              <w:marLeft w:val="0"/>
              <w:marRight w:val="0"/>
              <w:marTop w:val="0"/>
              <w:marBottom w:val="0"/>
              <w:divBdr>
                <w:top w:val="none" w:sz="0" w:space="0" w:color="auto"/>
                <w:left w:val="none" w:sz="0" w:space="0" w:color="auto"/>
                <w:bottom w:val="none" w:sz="0" w:space="0" w:color="auto"/>
                <w:right w:val="none" w:sz="0" w:space="0" w:color="auto"/>
              </w:divBdr>
              <w:divsChild>
                <w:div w:id="765854699">
                  <w:marLeft w:val="0"/>
                  <w:marRight w:val="0"/>
                  <w:marTop w:val="0"/>
                  <w:marBottom w:val="0"/>
                  <w:divBdr>
                    <w:top w:val="none" w:sz="0" w:space="0" w:color="auto"/>
                    <w:left w:val="none" w:sz="0" w:space="0" w:color="auto"/>
                    <w:bottom w:val="none" w:sz="0" w:space="0" w:color="auto"/>
                    <w:right w:val="none" w:sz="0" w:space="0" w:color="auto"/>
                  </w:divBdr>
                  <w:divsChild>
                    <w:div w:id="1836720107">
                      <w:marLeft w:val="0"/>
                      <w:marRight w:val="0"/>
                      <w:marTop w:val="0"/>
                      <w:marBottom w:val="300"/>
                      <w:divBdr>
                        <w:top w:val="none" w:sz="0" w:space="0" w:color="auto"/>
                        <w:left w:val="none" w:sz="0" w:space="0" w:color="auto"/>
                        <w:bottom w:val="none" w:sz="0" w:space="0" w:color="auto"/>
                        <w:right w:val="none" w:sz="0" w:space="0" w:color="auto"/>
                      </w:divBdr>
                      <w:divsChild>
                        <w:div w:id="20127772">
                          <w:marLeft w:val="0"/>
                          <w:marRight w:val="0"/>
                          <w:marTop w:val="0"/>
                          <w:marBottom w:val="0"/>
                          <w:divBdr>
                            <w:top w:val="none" w:sz="0" w:space="0" w:color="auto"/>
                            <w:left w:val="none" w:sz="0" w:space="0" w:color="auto"/>
                            <w:bottom w:val="none" w:sz="0" w:space="0" w:color="auto"/>
                            <w:right w:val="none" w:sz="0" w:space="0" w:color="auto"/>
                          </w:divBdr>
                        </w:div>
                      </w:divsChild>
                    </w:div>
                    <w:div w:id="357314694">
                      <w:marLeft w:val="0"/>
                      <w:marRight w:val="0"/>
                      <w:marTop w:val="0"/>
                      <w:marBottom w:val="0"/>
                      <w:divBdr>
                        <w:top w:val="none" w:sz="0" w:space="0" w:color="auto"/>
                        <w:left w:val="none" w:sz="0" w:space="0" w:color="auto"/>
                        <w:bottom w:val="none" w:sz="0" w:space="0" w:color="auto"/>
                        <w:right w:val="none" w:sz="0" w:space="0" w:color="auto"/>
                      </w:divBdr>
                      <w:divsChild>
                        <w:div w:id="1141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971819">
          <w:marLeft w:val="0"/>
          <w:marRight w:val="0"/>
          <w:marTop w:val="0"/>
          <w:marBottom w:val="0"/>
          <w:divBdr>
            <w:top w:val="none" w:sz="0" w:space="0" w:color="auto"/>
            <w:left w:val="none" w:sz="0" w:space="0" w:color="auto"/>
            <w:bottom w:val="none" w:sz="0" w:space="0" w:color="auto"/>
            <w:right w:val="none" w:sz="0" w:space="0" w:color="auto"/>
          </w:divBdr>
          <w:divsChild>
            <w:div w:id="849412751">
              <w:marLeft w:val="0"/>
              <w:marRight w:val="0"/>
              <w:marTop w:val="0"/>
              <w:marBottom w:val="0"/>
              <w:divBdr>
                <w:top w:val="none" w:sz="0" w:space="0" w:color="auto"/>
                <w:left w:val="none" w:sz="0" w:space="0" w:color="auto"/>
                <w:bottom w:val="none" w:sz="0" w:space="0" w:color="auto"/>
                <w:right w:val="none" w:sz="0" w:space="0" w:color="auto"/>
              </w:divBdr>
              <w:divsChild>
                <w:div w:id="808745450">
                  <w:marLeft w:val="0"/>
                  <w:marRight w:val="0"/>
                  <w:marTop w:val="0"/>
                  <w:marBottom w:val="0"/>
                  <w:divBdr>
                    <w:top w:val="none" w:sz="0" w:space="0" w:color="auto"/>
                    <w:left w:val="none" w:sz="0" w:space="0" w:color="auto"/>
                    <w:bottom w:val="none" w:sz="0" w:space="0" w:color="auto"/>
                    <w:right w:val="none" w:sz="0" w:space="0" w:color="auto"/>
                  </w:divBdr>
                  <w:divsChild>
                    <w:div w:id="1923174866">
                      <w:marLeft w:val="0"/>
                      <w:marRight w:val="0"/>
                      <w:marTop w:val="0"/>
                      <w:marBottom w:val="300"/>
                      <w:divBdr>
                        <w:top w:val="none" w:sz="0" w:space="0" w:color="auto"/>
                        <w:left w:val="none" w:sz="0" w:space="0" w:color="auto"/>
                        <w:bottom w:val="none" w:sz="0" w:space="0" w:color="auto"/>
                        <w:right w:val="none" w:sz="0" w:space="0" w:color="auto"/>
                      </w:divBdr>
                      <w:divsChild>
                        <w:div w:id="719862054">
                          <w:marLeft w:val="0"/>
                          <w:marRight w:val="0"/>
                          <w:marTop w:val="0"/>
                          <w:marBottom w:val="0"/>
                          <w:divBdr>
                            <w:top w:val="none" w:sz="0" w:space="0" w:color="auto"/>
                            <w:left w:val="none" w:sz="0" w:space="0" w:color="auto"/>
                            <w:bottom w:val="none" w:sz="0" w:space="0" w:color="auto"/>
                            <w:right w:val="none" w:sz="0" w:space="0" w:color="auto"/>
                          </w:divBdr>
                        </w:div>
                      </w:divsChild>
                    </w:div>
                    <w:div w:id="1599022027">
                      <w:marLeft w:val="0"/>
                      <w:marRight w:val="0"/>
                      <w:marTop w:val="0"/>
                      <w:marBottom w:val="0"/>
                      <w:divBdr>
                        <w:top w:val="none" w:sz="0" w:space="0" w:color="auto"/>
                        <w:left w:val="none" w:sz="0" w:space="0" w:color="auto"/>
                        <w:bottom w:val="none" w:sz="0" w:space="0" w:color="auto"/>
                        <w:right w:val="none" w:sz="0" w:space="0" w:color="auto"/>
                      </w:divBdr>
                      <w:divsChild>
                        <w:div w:id="2793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277604">
          <w:marLeft w:val="0"/>
          <w:marRight w:val="0"/>
          <w:marTop w:val="0"/>
          <w:marBottom w:val="0"/>
          <w:divBdr>
            <w:top w:val="none" w:sz="0" w:space="0" w:color="auto"/>
            <w:left w:val="none" w:sz="0" w:space="0" w:color="auto"/>
            <w:bottom w:val="none" w:sz="0" w:space="0" w:color="auto"/>
            <w:right w:val="none" w:sz="0" w:space="0" w:color="auto"/>
          </w:divBdr>
          <w:divsChild>
            <w:div w:id="940379379">
              <w:marLeft w:val="0"/>
              <w:marRight w:val="0"/>
              <w:marTop w:val="0"/>
              <w:marBottom w:val="0"/>
              <w:divBdr>
                <w:top w:val="none" w:sz="0" w:space="0" w:color="auto"/>
                <w:left w:val="none" w:sz="0" w:space="0" w:color="auto"/>
                <w:bottom w:val="none" w:sz="0" w:space="0" w:color="auto"/>
                <w:right w:val="none" w:sz="0" w:space="0" w:color="auto"/>
              </w:divBdr>
              <w:divsChild>
                <w:div w:id="1276523145">
                  <w:marLeft w:val="0"/>
                  <w:marRight w:val="0"/>
                  <w:marTop w:val="0"/>
                  <w:marBottom w:val="0"/>
                  <w:divBdr>
                    <w:top w:val="none" w:sz="0" w:space="0" w:color="auto"/>
                    <w:left w:val="none" w:sz="0" w:space="0" w:color="auto"/>
                    <w:bottom w:val="none" w:sz="0" w:space="0" w:color="auto"/>
                    <w:right w:val="none" w:sz="0" w:space="0" w:color="auto"/>
                  </w:divBdr>
                  <w:divsChild>
                    <w:div w:id="1234044304">
                      <w:marLeft w:val="0"/>
                      <w:marRight w:val="0"/>
                      <w:marTop w:val="0"/>
                      <w:marBottom w:val="300"/>
                      <w:divBdr>
                        <w:top w:val="none" w:sz="0" w:space="0" w:color="auto"/>
                        <w:left w:val="none" w:sz="0" w:space="0" w:color="auto"/>
                        <w:bottom w:val="none" w:sz="0" w:space="0" w:color="auto"/>
                        <w:right w:val="none" w:sz="0" w:space="0" w:color="auto"/>
                      </w:divBdr>
                      <w:divsChild>
                        <w:div w:id="1764179290">
                          <w:marLeft w:val="0"/>
                          <w:marRight w:val="0"/>
                          <w:marTop w:val="0"/>
                          <w:marBottom w:val="0"/>
                          <w:divBdr>
                            <w:top w:val="none" w:sz="0" w:space="0" w:color="auto"/>
                            <w:left w:val="none" w:sz="0" w:space="0" w:color="auto"/>
                            <w:bottom w:val="none" w:sz="0" w:space="0" w:color="auto"/>
                            <w:right w:val="none" w:sz="0" w:space="0" w:color="auto"/>
                          </w:divBdr>
                        </w:div>
                      </w:divsChild>
                    </w:div>
                    <w:div w:id="2087727616">
                      <w:marLeft w:val="0"/>
                      <w:marRight w:val="0"/>
                      <w:marTop w:val="0"/>
                      <w:marBottom w:val="0"/>
                      <w:divBdr>
                        <w:top w:val="none" w:sz="0" w:space="0" w:color="auto"/>
                        <w:left w:val="none" w:sz="0" w:space="0" w:color="auto"/>
                        <w:bottom w:val="none" w:sz="0" w:space="0" w:color="auto"/>
                        <w:right w:val="none" w:sz="0" w:space="0" w:color="auto"/>
                      </w:divBdr>
                      <w:divsChild>
                        <w:div w:id="16046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722103">
          <w:marLeft w:val="0"/>
          <w:marRight w:val="0"/>
          <w:marTop w:val="0"/>
          <w:marBottom w:val="0"/>
          <w:divBdr>
            <w:top w:val="none" w:sz="0" w:space="0" w:color="auto"/>
            <w:left w:val="none" w:sz="0" w:space="0" w:color="auto"/>
            <w:bottom w:val="none" w:sz="0" w:space="0" w:color="auto"/>
            <w:right w:val="none" w:sz="0" w:space="0" w:color="auto"/>
          </w:divBdr>
          <w:divsChild>
            <w:div w:id="1594967858">
              <w:marLeft w:val="0"/>
              <w:marRight w:val="0"/>
              <w:marTop w:val="0"/>
              <w:marBottom w:val="0"/>
              <w:divBdr>
                <w:top w:val="none" w:sz="0" w:space="0" w:color="auto"/>
                <w:left w:val="none" w:sz="0" w:space="0" w:color="auto"/>
                <w:bottom w:val="none" w:sz="0" w:space="0" w:color="auto"/>
                <w:right w:val="none" w:sz="0" w:space="0" w:color="auto"/>
              </w:divBdr>
              <w:divsChild>
                <w:div w:id="1389264030">
                  <w:marLeft w:val="0"/>
                  <w:marRight w:val="0"/>
                  <w:marTop w:val="0"/>
                  <w:marBottom w:val="0"/>
                  <w:divBdr>
                    <w:top w:val="none" w:sz="0" w:space="0" w:color="auto"/>
                    <w:left w:val="none" w:sz="0" w:space="0" w:color="auto"/>
                    <w:bottom w:val="none" w:sz="0" w:space="0" w:color="auto"/>
                    <w:right w:val="none" w:sz="0" w:space="0" w:color="auto"/>
                  </w:divBdr>
                  <w:divsChild>
                    <w:div w:id="1688097778">
                      <w:marLeft w:val="0"/>
                      <w:marRight w:val="0"/>
                      <w:marTop w:val="0"/>
                      <w:marBottom w:val="300"/>
                      <w:divBdr>
                        <w:top w:val="none" w:sz="0" w:space="0" w:color="auto"/>
                        <w:left w:val="none" w:sz="0" w:space="0" w:color="auto"/>
                        <w:bottom w:val="none" w:sz="0" w:space="0" w:color="auto"/>
                        <w:right w:val="none" w:sz="0" w:space="0" w:color="auto"/>
                      </w:divBdr>
                      <w:divsChild>
                        <w:div w:id="133718199">
                          <w:marLeft w:val="0"/>
                          <w:marRight w:val="0"/>
                          <w:marTop w:val="0"/>
                          <w:marBottom w:val="0"/>
                          <w:divBdr>
                            <w:top w:val="none" w:sz="0" w:space="0" w:color="auto"/>
                            <w:left w:val="none" w:sz="0" w:space="0" w:color="auto"/>
                            <w:bottom w:val="none" w:sz="0" w:space="0" w:color="auto"/>
                            <w:right w:val="none" w:sz="0" w:space="0" w:color="auto"/>
                          </w:divBdr>
                        </w:div>
                      </w:divsChild>
                    </w:div>
                    <w:div w:id="1353608672">
                      <w:marLeft w:val="0"/>
                      <w:marRight w:val="0"/>
                      <w:marTop w:val="0"/>
                      <w:marBottom w:val="0"/>
                      <w:divBdr>
                        <w:top w:val="none" w:sz="0" w:space="0" w:color="auto"/>
                        <w:left w:val="none" w:sz="0" w:space="0" w:color="auto"/>
                        <w:bottom w:val="none" w:sz="0" w:space="0" w:color="auto"/>
                        <w:right w:val="none" w:sz="0" w:space="0" w:color="auto"/>
                      </w:divBdr>
                      <w:divsChild>
                        <w:div w:id="2343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03114">
          <w:marLeft w:val="0"/>
          <w:marRight w:val="0"/>
          <w:marTop w:val="0"/>
          <w:marBottom w:val="0"/>
          <w:divBdr>
            <w:top w:val="none" w:sz="0" w:space="0" w:color="auto"/>
            <w:left w:val="none" w:sz="0" w:space="0" w:color="auto"/>
            <w:bottom w:val="none" w:sz="0" w:space="0" w:color="auto"/>
            <w:right w:val="none" w:sz="0" w:space="0" w:color="auto"/>
          </w:divBdr>
          <w:divsChild>
            <w:div w:id="1795907698">
              <w:marLeft w:val="0"/>
              <w:marRight w:val="0"/>
              <w:marTop w:val="0"/>
              <w:marBottom w:val="0"/>
              <w:divBdr>
                <w:top w:val="none" w:sz="0" w:space="0" w:color="auto"/>
                <w:left w:val="none" w:sz="0" w:space="0" w:color="auto"/>
                <w:bottom w:val="none" w:sz="0" w:space="0" w:color="auto"/>
                <w:right w:val="none" w:sz="0" w:space="0" w:color="auto"/>
              </w:divBdr>
              <w:divsChild>
                <w:div w:id="2062437858">
                  <w:marLeft w:val="0"/>
                  <w:marRight w:val="0"/>
                  <w:marTop w:val="0"/>
                  <w:marBottom w:val="0"/>
                  <w:divBdr>
                    <w:top w:val="none" w:sz="0" w:space="0" w:color="auto"/>
                    <w:left w:val="none" w:sz="0" w:space="0" w:color="auto"/>
                    <w:bottom w:val="none" w:sz="0" w:space="0" w:color="auto"/>
                    <w:right w:val="none" w:sz="0" w:space="0" w:color="auto"/>
                  </w:divBdr>
                  <w:divsChild>
                    <w:div w:id="1136921191">
                      <w:marLeft w:val="0"/>
                      <w:marRight w:val="0"/>
                      <w:marTop w:val="0"/>
                      <w:marBottom w:val="300"/>
                      <w:divBdr>
                        <w:top w:val="none" w:sz="0" w:space="0" w:color="auto"/>
                        <w:left w:val="none" w:sz="0" w:space="0" w:color="auto"/>
                        <w:bottom w:val="none" w:sz="0" w:space="0" w:color="auto"/>
                        <w:right w:val="none" w:sz="0" w:space="0" w:color="auto"/>
                      </w:divBdr>
                      <w:divsChild>
                        <w:div w:id="339697499">
                          <w:marLeft w:val="0"/>
                          <w:marRight w:val="0"/>
                          <w:marTop w:val="0"/>
                          <w:marBottom w:val="0"/>
                          <w:divBdr>
                            <w:top w:val="none" w:sz="0" w:space="0" w:color="auto"/>
                            <w:left w:val="none" w:sz="0" w:space="0" w:color="auto"/>
                            <w:bottom w:val="none" w:sz="0" w:space="0" w:color="auto"/>
                            <w:right w:val="none" w:sz="0" w:space="0" w:color="auto"/>
                          </w:divBdr>
                        </w:div>
                      </w:divsChild>
                    </w:div>
                    <w:div w:id="1020275905">
                      <w:marLeft w:val="0"/>
                      <w:marRight w:val="0"/>
                      <w:marTop w:val="0"/>
                      <w:marBottom w:val="0"/>
                      <w:divBdr>
                        <w:top w:val="none" w:sz="0" w:space="0" w:color="auto"/>
                        <w:left w:val="none" w:sz="0" w:space="0" w:color="auto"/>
                        <w:bottom w:val="none" w:sz="0" w:space="0" w:color="auto"/>
                        <w:right w:val="none" w:sz="0" w:space="0" w:color="auto"/>
                      </w:divBdr>
                      <w:divsChild>
                        <w:div w:id="41779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59144">
          <w:marLeft w:val="0"/>
          <w:marRight w:val="0"/>
          <w:marTop w:val="0"/>
          <w:marBottom w:val="0"/>
          <w:divBdr>
            <w:top w:val="none" w:sz="0" w:space="0" w:color="auto"/>
            <w:left w:val="none" w:sz="0" w:space="0" w:color="auto"/>
            <w:bottom w:val="none" w:sz="0" w:space="0" w:color="auto"/>
            <w:right w:val="none" w:sz="0" w:space="0" w:color="auto"/>
          </w:divBdr>
          <w:divsChild>
            <w:div w:id="1062174007">
              <w:marLeft w:val="0"/>
              <w:marRight w:val="0"/>
              <w:marTop w:val="0"/>
              <w:marBottom w:val="0"/>
              <w:divBdr>
                <w:top w:val="none" w:sz="0" w:space="0" w:color="auto"/>
                <w:left w:val="none" w:sz="0" w:space="0" w:color="auto"/>
                <w:bottom w:val="none" w:sz="0" w:space="0" w:color="auto"/>
                <w:right w:val="none" w:sz="0" w:space="0" w:color="auto"/>
              </w:divBdr>
              <w:divsChild>
                <w:div w:id="123472421">
                  <w:marLeft w:val="0"/>
                  <w:marRight w:val="0"/>
                  <w:marTop w:val="0"/>
                  <w:marBottom w:val="0"/>
                  <w:divBdr>
                    <w:top w:val="none" w:sz="0" w:space="0" w:color="auto"/>
                    <w:left w:val="none" w:sz="0" w:space="0" w:color="auto"/>
                    <w:bottom w:val="none" w:sz="0" w:space="0" w:color="auto"/>
                    <w:right w:val="none" w:sz="0" w:space="0" w:color="auto"/>
                  </w:divBdr>
                  <w:divsChild>
                    <w:div w:id="214780484">
                      <w:marLeft w:val="0"/>
                      <w:marRight w:val="0"/>
                      <w:marTop w:val="0"/>
                      <w:marBottom w:val="300"/>
                      <w:divBdr>
                        <w:top w:val="none" w:sz="0" w:space="0" w:color="auto"/>
                        <w:left w:val="none" w:sz="0" w:space="0" w:color="auto"/>
                        <w:bottom w:val="none" w:sz="0" w:space="0" w:color="auto"/>
                        <w:right w:val="none" w:sz="0" w:space="0" w:color="auto"/>
                      </w:divBdr>
                      <w:divsChild>
                        <w:div w:id="1885942314">
                          <w:marLeft w:val="0"/>
                          <w:marRight w:val="0"/>
                          <w:marTop w:val="0"/>
                          <w:marBottom w:val="0"/>
                          <w:divBdr>
                            <w:top w:val="none" w:sz="0" w:space="0" w:color="auto"/>
                            <w:left w:val="none" w:sz="0" w:space="0" w:color="auto"/>
                            <w:bottom w:val="none" w:sz="0" w:space="0" w:color="auto"/>
                            <w:right w:val="none" w:sz="0" w:space="0" w:color="auto"/>
                          </w:divBdr>
                        </w:div>
                      </w:divsChild>
                    </w:div>
                    <w:div w:id="1391877303">
                      <w:marLeft w:val="0"/>
                      <w:marRight w:val="0"/>
                      <w:marTop w:val="0"/>
                      <w:marBottom w:val="0"/>
                      <w:divBdr>
                        <w:top w:val="none" w:sz="0" w:space="0" w:color="auto"/>
                        <w:left w:val="none" w:sz="0" w:space="0" w:color="auto"/>
                        <w:bottom w:val="none" w:sz="0" w:space="0" w:color="auto"/>
                        <w:right w:val="none" w:sz="0" w:space="0" w:color="auto"/>
                      </w:divBdr>
                      <w:divsChild>
                        <w:div w:id="10389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9287">
      <w:bodyDiv w:val="1"/>
      <w:marLeft w:val="0"/>
      <w:marRight w:val="0"/>
      <w:marTop w:val="0"/>
      <w:marBottom w:val="0"/>
      <w:divBdr>
        <w:top w:val="none" w:sz="0" w:space="0" w:color="auto"/>
        <w:left w:val="none" w:sz="0" w:space="0" w:color="auto"/>
        <w:bottom w:val="none" w:sz="0" w:space="0" w:color="auto"/>
        <w:right w:val="none" w:sz="0" w:space="0" w:color="auto"/>
      </w:divBdr>
    </w:div>
    <w:div w:id="1115514159">
      <w:bodyDiv w:val="1"/>
      <w:marLeft w:val="0"/>
      <w:marRight w:val="0"/>
      <w:marTop w:val="0"/>
      <w:marBottom w:val="0"/>
      <w:divBdr>
        <w:top w:val="none" w:sz="0" w:space="0" w:color="auto"/>
        <w:left w:val="none" w:sz="0" w:space="0" w:color="auto"/>
        <w:bottom w:val="none" w:sz="0" w:space="0" w:color="auto"/>
        <w:right w:val="none" w:sz="0" w:space="0" w:color="auto"/>
      </w:divBdr>
    </w:div>
    <w:div w:id="1152454135">
      <w:bodyDiv w:val="1"/>
      <w:marLeft w:val="0"/>
      <w:marRight w:val="0"/>
      <w:marTop w:val="0"/>
      <w:marBottom w:val="0"/>
      <w:divBdr>
        <w:top w:val="none" w:sz="0" w:space="0" w:color="auto"/>
        <w:left w:val="none" w:sz="0" w:space="0" w:color="auto"/>
        <w:bottom w:val="none" w:sz="0" w:space="0" w:color="auto"/>
        <w:right w:val="none" w:sz="0" w:space="0" w:color="auto"/>
      </w:divBdr>
    </w:div>
    <w:div w:id="1277903854">
      <w:bodyDiv w:val="1"/>
      <w:marLeft w:val="0"/>
      <w:marRight w:val="0"/>
      <w:marTop w:val="0"/>
      <w:marBottom w:val="0"/>
      <w:divBdr>
        <w:top w:val="none" w:sz="0" w:space="0" w:color="auto"/>
        <w:left w:val="none" w:sz="0" w:space="0" w:color="auto"/>
        <w:bottom w:val="none" w:sz="0" w:space="0" w:color="auto"/>
        <w:right w:val="none" w:sz="0" w:space="0" w:color="auto"/>
      </w:divBdr>
    </w:div>
    <w:div w:id="1363359646">
      <w:bodyDiv w:val="1"/>
      <w:marLeft w:val="0"/>
      <w:marRight w:val="0"/>
      <w:marTop w:val="0"/>
      <w:marBottom w:val="0"/>
      <w:divBdr>
        <w:top w:val="none" w:sz="0" w:space="0" w:color="auto"/>
        <w:left w:val="none" w:sz="0" w:space="0" w:color="auto"/>
        <w:bottom w:val="none" w:sz="0" w:space="0" w:color="auto"/>
        <w:right w:val="none" w:sz="0" w:space="0" w:color="auto"/>
      </w:divBdr>
    </w:div>
    <w:div w:id="1383747888">
      <w:bodyDiv w:val="1"/>
      <w:marLeft w:val="0"/>
      <w:marRight w:val="0"/>
      <w:marTop w:val="0"/>
      <w:marBottom w:val="0"/>
      <w:divBdr>
        <w:top w:val="none" w:sz="0" w:space="0" w:color="auto"/>
        <w:left w:val="none" w:sz="0" w:space="0" w:color="auto"/>
        <w:bottom w:val="none" w:sz="0" w:space="0" w:color="auto"/>
        <w:right w:val="none" w:sz="0" w:space="0" w:color="auto"/>
      </w:divBdr>
    </w:div>
    <w:div w:id="1435319316">
      <w:bodyDiv w:val="1"/>
      <w:marLeft w:val="0"/>
      <w:marRight w:val="0"/>
      <w:marTop w:val="0"/>
      <w:marBottom w:val="0"/>
      <w:divBdr>
        <w:top w:val="none" w:sz="0" w:space="0" w:color="auto"/>
        <w:left w:val="none" w:sz="0" w:space="0" w:color="auto"/>
        <w:bottom w:val="none" w:sz="0" w:space="0" w:color="auto"/>
        <w:right w:val="none" w:sz="0" w:space="0" w:color="auto"/>
      </w:divBdr>
    </w:div>
    <w:div w:id="1505046406">
      <w:bodyDiv w:val="1"/>
      <w:marLeft w:val="0"/>
      <w:marRight w:val="0"/>
      <w:marTop w:val="0"/>
      <w:marBottom w:val="0"/>
      <w:divBdr>
        <w:top w:val="none" w:sz="0" w:space="0" w:color="auto"/>
        <w:left w:val="none" w:sz="0" w:space="0" w:color="auto"/>
        <w:bottom w:val="none" w:sz="0" w:space="0" w:color="auto"/>
        <w:right w:val="none" w:sz="0" w:space="0" w:color="auto"/>
      </w:divBdr>
    </w:div>
    <w:div w:id="1508448399">
      <w:bodyDiv w:val="1"/>
      <w:marLeft w:val="0"/>
      <w:marRight w:val="0"/>
      <w:marTop w:val="0"/>
      <w:marBottom w:val="0"/>
      <w:divBdr>
        <w:top w:val="none" w:sz="0" w:space="0" w:color="auto"/>
        <w:left w:val="none" w:sz="0" w:space="0" w:color="auto"/>
        <w:bottom w:val="none" w:sz="0" w:space="0" w:color="auto"/>
        <w:right w:val="none" w:sz="0" w:space="0" w:color="auto"/>
      </w:divBdr>
    </w:div>
    <w:div w:id="1524586373">
      <w:bodyDiv w:val="1"/>
      <w:marLeft w:val="0"/>
      <w:marRight w:val="0"/>
      <w:marTop w:val="0"/>
      <w:marBottom w:val="0"/>
      <w:divBdr>
        <w:top w:val="none" w:sz="0" w:space="0" w:color="auto"/>
        <w:left w:val="none" w:sz="0" w:space="0" w:color="auto"/>
        <w:bottom w:val="none" w:sz="0" w:space="0" w:color="auto"/>
        <w:right w:val="none" w:sz="0" w:space="0" w:color="auto"/>
      </w:divBdr>
    </w:div>
    <w:div w:id="1529105733">
      <w:bodyDiv w:val="1"/>
      <w:marLeft w:val="0"/>
      <w:marRight w:val="0"/>
      <w:marTop w:val="0"/>
      <w:marBottom w:val="0"/>
      <w:divBdr>
        <w:top w:val="none" w:sz="0" w:space="0" w:color="auto"/>
        <w:left w:val="none" w:sz="0" w:space="0" w:color="auto"/>
        <w:bottom w:val="none" w:sz="0" w:space="0" w:color="auto"/>
        <w:right w:val="none" w:sz="0" w:space="0" w:color="auto"/>
      </w:divBdr>
    </w:div>
    <w:div w:id="1543250435">
      <w:bodyDiv w:val="1"/>
      <w:marLeft w:val="0"/>
      <w:marRight w:val="0"/>
      <w:marTop w:val="0"/>
      <w:marBottom w:val="0"/>
      <w:divBdr>
        <w:top w:val="none" w:sz="0" w:space="0" w:color="auto"/>
        <w:left w:val="none" w:sz="0" w:space="0" w:color="auto"/>
        <w:bottom w:val="none" w:sz="0" w:space="0" w:color="auto"/>
        <w:right w:val="none" w:sz="0" w:space="0" w:color="auto"/>
      </w:divBdr>
      <w:divsChild>
        <w:div w:id="730926877">
          <w:marLeft w:val="0"/>
          <w:marRight w:val="0"/>
          <w:marTop w:val="0"/>
          <w:marBottom w:val="0"/>
          <w:divBdr>
            <w:top w:val="none" w:sz="0" w:space="0" w:color="auto"/>
            <w:left w:val="single" w:sz="6" w:space="0" w:color="C1C1C1"/>
            <w:bottom w:val="single" w:sz="6" w:space="0" w:color="C1C1C1"/>
            <w:right w:val="single" w:sz="6" w:space="0" w:color="C1C1C1"/>
          </w:divBdr>
        </w:div>
      </w:divsChild>
    </w:div>
    <w:div w:id="1590579327">
      <w:bodyDiv w:val="1"/>
      <w:marLeft w:val="0"/>
      <w:marRight w:val="0"/>
      <w:marTop w:val="0"/>
      <w:marBottom w:val="0"/>
      <w:divBdr>
        <w:top w:val="none" w:sz="0" w:space="0" w:color="auto"/>
        <w:left w:val="none" w:sz="0" w:space="0" w:color="auto"/>
        <w:bottom w:val="none" w:sz="0" w:space="0" w:color="auto"/>
        <w:right w:val="none" w:sz="0" w:space="0" w:color="auto"/>
      </w:divBdr>
    </w:div>
    <w:div w:id="1728383116">
      <w:bodyDiv w:val="1"/>
      <w:marLeft w:val="0"/>
      <w:marRight w:val="0"/>
      <w:marTop w:val="0"/>
      <w:marBottom w:val="0"/>
      <w:divBdr>
        <w:top w:val="none" w:sz="0" w:space="0" w:color="auto"/>
        <w:left w:val="none" w:sz="0" w:space="0" w:color="auto"/>
        <w:bottom w:val="none" w:sz="0" w:space="0" w:color="auto"/>
        <w:right w:val="none" w:sz="0" w:space="0" w:color="auto"/>
      </w:divBdr>
      <w:divsChild>
        <w:div w:id="292563720">
          <w:marLeft w:val="0"/>
          <w:marRight w:val="0"/>
          <w:marTop w:val="0"/>
          <w:marBottom w:val="0"/>
          <w:divBdr>
            <w:top w:val="single" w:sz="2" w:space="0" w:color="E5E5E5"/>
            <w:left w:val="single" w:sz="2" w:space="0" w:color="E5E5E5"/>
            <w:bottom w:val="single" w:sz="2" w:space="0" w:color="E5E5E5"/>
            <w:right w:val="single" w:sz="2" w:space="0" w:color="E5E5E5"/>
          </w:divBdr>
        </w:div>
        <w:div w:id="20301789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764060864">
      <w:bodyDiv w:val="1"/>
      <w:marLeft w:val="0"/>
      <w:marRight w:val="0"/>
      <w:marTop w:val="0"/>
      <w:marBottom w:val="0"/>
      <w:divBdr>
        <w:top w:val="none" w:sz="0" w:space="0" w:color="auto"/>
        <w:left w:val="none" w:sz="0" w:space="0" w:color="auto"/>
        <w:bottom w:val="none" w:sz="0" w:space="0" w:color="auto"/>
        <w:right w:val="none" w:sz="0" w:space="0" w:color="auto"/>
      </w:divBdr>
    </w:div>
    <w:div w:id="1855339393">
      <w:bodyDiv w:val="1"/>
      <w:marLeft w:val="0"/>
      <w:marRight w:val="0"/>
      <w:marTop w:val="0"/>
      <w:marBottom w:val="0"/>
      <w:divBdr>
        <w:top w:val="none" w:sz="0" w:space="0" w:color="auto"/>
        <w:left w:val="none" w:sz="0" w:space="0" w:color="auto"/>
        <w:bottom w:val="none" w:sz="0" w:space="0" w:color="auto"/>
        <w:right w:val="none" w:sz="0" w:space="0" w:color="auto"/>
      </w:divBdr>
    </w:div>
    <w:div w:id="1884976408">
      <w:bodyDiv w:val="1"/>
      <w:marLeft w:val="0"/>
      <w:marRight w:val="0"/>
      <w:marTop w:val="0"/>
      <w:marBottom w:val="0"/>
      <w:divBdr>
        <w:top w:val="none" w:sz="0" w:space="0" w:color="auto"/>
        <w:left w:val="none" w:sz="0" w:space="0" w:color="auto"/>
        <w:bottom w:val="none" w:sz="0" w:space="0" w:color="auto"/>
        <w:right w:val="none" w:sz="0" w:space="0" w:color="auto"/>
      </w:divBdr>
    </w:div>
    <w:div w:id="1964996907">
      <w:bodyDiv w:val="1"/>
      <w:marLeft w:val="0"/>
      <w:marRight w:val="0"/>
      <w:marTop w:val="0"/>
      <w:marBottom w:val="0"/>
      <w:divBdr>
        <w:top w:val="none" w:sz="0" w:space="0" w:color="auto"/>
        <w:left w:val="none" w:sz="0" w:space="0" w:color="auto"/>
        <w:bottom w:val="none" w:sz="0" w:space="0" w:color="auto"/>
        <w:right w:val="none" w:sz="0" w:space="0" w:color="auto"/>
      </w:divBdr>
    </w:div>
    <w:div w:id="2016107544">
      <w:bodyDiv w:val="1"/>
      <w:marLeft w:val="0"/>
      <w:marRight w:val="0"/>
      <w:marTop w:val="0"/>
      <w:marBottom w:val="0"/>
      <w:divBdr>
        <w:top w:val="none" w:sz="0" w:space="0" w:color="auto"/>
        <w:left w:val="none" w:sz="0" w:space="0" w:color="auto"/>
        <w:bottom w:val="none" w:sz="0" w:space="0" w:color="auto"/>
        <w:right w:val="none" w:sz="0" w:space="0" w:color="auto"/>
      </w:divBdr>
    </w:div>
    <w:div w:id="2034265256">
      <w:bodyDiv w:val="1"/>
      <w:marLeft w:val="0"/>
      <w:marRight w:val="0"/>
      <w:marTop w:val="0"/>
      <w:marBottom w:val="0"/>
      <w:divBdr>
        <w:top w:val="none" w:sz="0" w:space="0" w:color="auto"/>
        <w:left w:val="none" w:sz="0" w:space="0" w:color="auto"/>
        <w:bottom w:val="none" w:sz="0" w:space="0" w:color="auto"/>
        <w:right w:val="none" w:sz="0" w:space="0" w:color="auto"/>
      </w:divBdr>
    </w:div>
    <w:div w:id="213721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skillsimpact-my.sharepoint.com/personal/niall_skillsimpact_com_au/Documents/Niall/IRCs/2.%20Skills%20Forecasts/Industry%20Skills%20Report%202022/2015-2020%20NCVER%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killsimpact-my.sharepoint.com/personal/niall_skillsimpact_com_au/Documents/Niall/IRCs/2.%20Skills%20Forecasts/Industry%20Skills%20Report%202022/2015-2020%20NCVER%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81714785651793"/>
          <c:y val="0.15361111111111111"/>
          <c:w val="0.85862729658792647"/>
          <c:h val="0.5465107681441711"/>
        </c:manualLayout>
      </c:layout>
      <c:lineChart>
        <c:grouping val="standard"/>
        <c:varyColors val="0"/>
        <c:ser>
          <c:idx val="0"/>
          <c:order val="0"/>
          <c:tx>
            <c:strRef>
              <c:f>'Qualification Tables'!$A$47:$B$47</c:f>
              <c:strCache>
                <c:ptCount val="2"/>
                <c:pt idx="0">
                  <c:v>AMP</c:v>
                </c:pt>
                <c:pt idx="1">
                  <c:v>Enrolments</c:v>
                </c:pt>
              </c:strCache>
            </c:strRef>
          </c:tx>
          <c:spPr>
            <a:ln w="28575" cap="rnd">
              <a:solidFill>
                <a:schemeClr val="accent1"/>
              </a:solidFill>
              <a:round/>
            </a:ln>
            <a:effectLst/>
          </c:spPr>
          <c:marker>
            <c:symbol val="none"/>
          </c:marker>
          <c:dLbls>
            <c:dLbl>
              <c:idx val="2"/>
              <c:layout>
                <c:manualLayout>
                  <c:x val="-7.1359537287981625E-2"/>
                  <c:y val="-4.93578371873476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DB-4803-9AF4-43E423C185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'Qualification Tables'!$C$42:$H$42</c:f>
              <c:strCache>
                <c:ptCount val="6"/>
                <c:pt idx="0">
                  <c:v>2015</c:v>
                </c:pt>
                <c:pt idx="1">
                  <c:v>2016</c:v>
                </c:pt>
                <c:pt idx="2">
                  <c:v>2017</c:v>
                </c:pt>
                <c:pt idx="3">
                  <c:v>2018</c:v>
                </c:pt>
                <c:pt idx="4">
                  <c:v>2019</c:v>
                </c:pt>
                <c:pt idx="5">
                  <c:v>2020</c:v>
                </c:pt>
              </c:strCache>
            </c:strRef>
          </c:cat>
          <c:val>
            <c:numRef>
              <c:f>'Qualification Tables'!$C$47:$H$47</c:f>
              <c:numCache>
                <c:formatCode>#,##0</c:formatCode>
                <c:ptCount val="6"/>
                <c:pt idx="0">
                  <c:v>13629</c:v>
                </c:pt>
                <c:pt idx="1">
                  <c:v>11718</c:v>
                </c:pt>
                <c:pt idx="2">
                  <c:v>12355</c:v>
                </c:pt>
                <c:pt idx="3">
                  <c:v>8509</c:v>
                </c:pt>
                <c:pt idx="4">
                  <c:v>8617</c:v>
                </c:pt>
                <c:pt idx="5">
                  <c:v>7063</c:v>
                </c:pt>
              </c:numCache>
            </c:numRef>
          </c:val>
          <c:smooth val="0"/>
          <c:extLst>
            <c:ext xmlns:c16="http://schemas.microsoft.com/office/drawing/2014/chart" uri="{C3380CC4-5D6E-409C-BE32-E72D297353CC}">
              <c16:uniqueId val="{00000001-58DB-4803-9AF4-43E423C185FF}"/>
            </c:ext>
          </c:extLst>
        </c:ser>
        <c:ser>
          <c:idx val="1"/>
          <c:order val="1"/>
          <c:tx>
            <c:strRef>
              <c:f>'Qualification Tables'!$A$48:$B$48</c:f>
              <c:strCache>
                <c:ptCount val="2"/>
                <c:pt idx="0">
                  <c:v>AMP</c:v>
                </c:pt>
                <c:pt idx="1">
                  <c:v>Completions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'Qualification Tables'!$C$42:$H$42</c:f>
              <c:strCache>
                <c:ptCount val="6"/>
                <c:pt idx="0">
                  <c:v>2015</c:v>
                </c:pt>
                <c:pt idx="1">
                  <c:v>2016</c:v>
                </c:pt>
                <c:pt idx="2">
                  <c:v>2017</c:v>
                </c:pt>
                <c:pt idx="3">
                  <c:v>2018</c:v>
                </c:pt>
                <c:pt idx="4">
                  <c:v>2019</c:v>
                </c:pt>
                <c:pt idx="5">
                  <c:v>2020</c:v>
                </c:pt>
              </c:strCache>
            </c:strRef>
          </c:cat>
          <c:val>
            <c:numRef>
              <c:f>'Qualification Tables'!$C$48:$H$48</c:f>
              <c:numCache>
                <c:formatCode>#,##0</c:formatCode>
                <c:ptCount val="6"/>
                <c:pt idx="0">
                  <c:v>3173</c:v>
                </c:pt>
                <c:pt idx="1">
                  <c:v>2885</c:v>
                </c:pt>
                <c:pt idx="2">
                  <c:v>2455</c:v>
                </c:pt>
                <c:pt idx="3">
                  <c:v>2586</c:v>
                </c:pt>
                <c:pt idx="4">
                  <c:v>2789</c:v>
                </c:pt>
                <c:pt idx="5">
                  <c:v>2026</c:v>
                </c:pt>
              </c:numCache>
            </c:numRef>
          </c:val>
          <c:smooth val="0"/>
          <c:extLst>
            <c:ext xmlns:c16="http://schemas.microsoft.com/office/drawing/2014/chart" uri="{C3380CC4-5D6E-409C-BE32-E72D297353CC}">
              <c16:uniqueId val="{00000002-58DB-4803-9AF4-43E423C185FF}"/>
            </c:ext>
          </c:extLst>
        </c:ser>
        <c:dLbls>
          <c:showLegendKey val="0"/>
          <c:showVal val="0"/>
          <c:showCatName val="0"/>
          <c:showSerName val="0"/>
          <c:showPercent val="0"/>
          <c:showBubbleSize val="0"/>
        </c:dLbls>
        <c:smooth val="0"/>
        <c:axId val="606208048"/>
        <c:axId val="606208376"/>
      </c:lineChart>
      <c:catAx>
        <c:axId val="606208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6208376"/>
        <c:crosses val="autoZero"/>
        <c:auto val="1"/>
        <c:lblAlgn val="ctr"/>
        <c:lblOffset val="100"/>
        <c:noMultiLvlLbl val="0"/>
      </c:catAx>
      <c:valAx>
        <c:axId val="606208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6208048"/>
        <c:crosses val="autoZero"/>
        <c:crossBetween val="between"/>
      </c:valAx>
      <c:spPr>
        <a:noFill/>
        <a:ln>
          <a:noFill/>
        </a:ln>
        <a:effectLst/>
      </c:spPr>
    </c:plotArea>
    <c:legend>
      <c:legendPos val="b"/>
      <c:layout>
        <c:manualLayout>
          <c:xMode val="edge"/>
          <c:yMode val="edge"/>
          <c:x val="0.17878657424999639"/>
          <c:y val="0.87473638324992142"/>
          <c:w val="0.64242685150000722"/>
          <c:h val="8.3217365874115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13229729262564"/>
          <c:y val="0.13249907986750092"/>
          <c:w val="0.81271809108967763"/>
          <c:h val="0.69673707974578258"/>
        </c:manualLayout>
      </c:layout>
      <c:barChart>
        <c:barDir val="col"/>
        <c:grouping val="clustered"/>
        <c:varyColors val="0"/>
        <c:ser>
          <c:idx val="0"/>
          <c:order val="0"/>
          <c:tx>
            <c:strRef>
              <c:f>'Unit Tables'!$A$17</c:f>
              <c:strCache>
                <c:ptCount val="1"/>
                <c:pt idx="0">
                  <c:v>AMP</c:v>
                </c:pt>
              </c:strCache>
            </c:strRef>
          </c:tx>
          <c:spPr>
            <a:solidFill>
              <a:srgbClr val="00843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'Unit Tables'!$B$14:$G$14</c:f>
              <c:strCache>
                <c:ptCount val="6"/>
                <c:pt idx="0">
                  <c:v>2015</c:v>
                </c:pt>
                <c:pt idx="1">
                  <c:v>2016</c:v>
                </c:pt>
                <c:pt idx="2">
                  <c:v>2017</c:v>
                </c:pt>
                <c:pt idx="3">
                  <c:v>2018</c:v>
                </c:pt>
                <c:pt idx="4">
                  <c:v>2019</c:v>
                </c:pt>
                <c:pt idx="5">
                  <c:v>2020</c:v>
                </c:pt>
              </c:strCache>
            </c:strRef>
          </c:cat>
          <c:val>
            <c:numRef>
              <c:f>'Unit Tables'!$B$17:$G$17</c:f>
              <c:numCache>
                <c:formatCode>#,##0</c:formatCode>
                <c:ptCount val="6"/>
                <c:pt idx="0">
                  <c:v>113268</c:v>
                </c:pt>
                <c:pt idx="1">
                  <c:v>101298</c:v>
                </c:pt>
                <c:pt idx="2">
                  <c:v>107066</c:v>
                </c:pt>
                <c:pt idx="3">
                  <c:v>84297</c:v>
                </c:pt>
                <c:pt idx="4">
                  <c:v>81843</c:v>
                </c:pt>
                <c:pt idx="5">
                  <c:v>65390</c:v>
                </c:pt>
              </c:numCache>
            </c:numRef>
          </c:val>
          <c:extLst>
            <c:ext xmlns:c16="http://schemas.microsoft.com/office/drawing/2014/chart" uri="{C3380CC4-5D6E-409C-BE32-E72D297353CC}">
              <c16:uniqueId val="{00000000-ADD6-4C2C-9267-4F6DAD69480B}"/>
            </c:ext>
          </c:extLst>
        </c:ser>
        <c:dLbls>
          <c:showLegendKey val="0"/>
          <c:showVal val="0"/>
          <c:showCatName val="0"/>
          <c:showSerName val="0"/>
          <c:showPercent val="0"/>
          <c:showBubbleSize val="0"/>
        </c:dLbls>
        <c:gapWidth val="219"/>
        <c:overlap val="-27"/>
        <c:axId val="783350800"/>
        <c:axId val="783349136"/>
      </c:barChart>
      <c:catAx>
        <c:axId val="783350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349136"/>
        <c:crosses val="autoZero"/>
        <c:auto val="1"/>
        <c:lblAlgn val="ctr"/>
        <c:lblOffset val="100"/>
        <c:noMultiLvlLbl val="0"/>
      </c:catAx>
      <c:valAx>
        <c:axId val="7833491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350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mission_x0020_Year xmlns="9090a2c3-f3a1-4f84-a2e9-c02ab3d30cc3">2022</Submission_x0020_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ECF4A973A9DA40824FD8D2AFDC4D61" ma:contentTypeVersion="7" ma:contentTypeDescription="Create a new document." ma:contentTypeScope="" ma:versionID="18b0bcf124a0dceab79811ae58728192">
  <xsd:schema xmlns:xsd="http://www.w3.org/2001/XMLSchema" xmlns:xs="http://www.w3.org/2001/XMLSchema" xmlns:p="http://schemas.microsoft.com/office/2006/metadata/properties" xmlns:ns2="9090a2c3-f3a1-4f84-a2e9-c02ab3d30cc3" xmlns:ns3="c0c61cd0-8906-41a6-94dd-696765a41e73" targetNamespace="http://schemas.microsoft.com/office/2006/metadata/properties" ma:root="true" ma:fieldsID="2fb03684907d023c3bdad70e649e7c7f" ns2:_="" ns3:_="">
    <xsd:import namespace="9090a2c3-f3a1-4f84-a2e9-c02ab3d30cc3"/>
    <xsd:import namespace="c0c61cd0-8906-41a6-94dd-696765a41e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ubmission_x0020_Yea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0a2c3-f3a1-4f84-a2e9-c02ab3d30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ubmission_x0020_Year" ma:index="12" nillable="true" ma:displayName="Submission Year" ma:default="2022" ma:format="Dropdown" ma:internalName="Submission_x0020_Year">
      <xsd:simpleType>
        <xsd:restriction base="dms:Choice">
          <xsd:enumeration value="2018"/>
          <xsd:enumeration value="2019"/>
          <xsd:enumeration value="2020"/>
          <xsd:enumeration value="2021"/>
          <xsd:enumeration value="2022"/>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FA809-358E-4FAE-963E-7378BA3A9AAC}">
  <ds:schemaRefs>
    <ds:schemaRef ds:uri="9090a2c3-f3a1-4f84-a2e9-c02ab3d30cc3"/>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c0c61cd0-8906-41a6-94dd-696765a41e73"/>
    <ds:schemaRef ds:uri="http://purl.org/dc/dcmitype/"/>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7D5C6B2B-A800-495E-917D-45937BA3B963}">
  <ds:schemaRefs>
    <ds:schemaRef ds:uri="http://schemas.microsoft.com/sharepoint/v3/contenttype/forms"/>
  </ds:schemaRefs>
</ds:datastoreItem>
</file>

<file path=customXml/itemProps3.xml><?xml version="1.0" encoding="utf-8"?>
<ds:datastoreItem xmlns:ds="http://schemas.openxmlformats.org/officeDocument/2006/customXml" ds:itemID="{1B295539-9BA3-46BE-BE77-2E6F48016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0a2c3-f3a1-4f84-a2e9-c02ab3d30cc3"/>
    <ds:schemaRef ds:uri="c0c61cd0-8906-41a6-94dd-696765a41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17CD62-512C-44F6-B62B-2AEC6D8E8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24</Pages>
  <Words>8857</Words>
  <Characters>50489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Smith</dc:creator>
  <cp:keywords/>
  <dc:description/>
  <cp:lastModifiedBy>Niall Smith</cp:lastModifiedBy>
  <cp:revision>19</cp:revision>
  <dcterms:created xsi:type="dcterms:W3CDTF">2022-07-05T01:58:00Z</dcterms:created>
  <dcterms:modified xsi:type="dcterms:W3CDTF">2022-09-30T02:11:00Z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0x01010078ECF4A973A9DA40824FD8D2AFDC4D61</vt:lpwstr>
  </property>
</Properties>
</file>