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55BB2D" w14:textId="77777777" w:rsidR="005E5DE5" w:rsidRPr="005E5DE5" w:rsidRDefault="005E5DE5" w:rsidP="005E5DE5">
      <w:pPr>
        <w:pStyle w:val="Heading1"/>
        <w:rPr>
          <w:rFonts w:asciiTheme="minorHAnsi" w:hAnsiTheme="minorHAnsi" w:cstheme="minorHAnsi"/>
          <w:sz w:val="28"/>
          <w:szCs w:val="28"/>
        </w:rPr>
      </w:pPr>
      <w:r w:rsidRPr="005E5DE5">
        <w:rPr>
          <w:rFonts w:asciiTheme="minorHAnsi" w:hAnsiTheme="minorHAnsi" w:cstheme="minorHAnsi"/>
          <w:sz w:val="28"/>
          <w:szCs w:val="28"/>
        </w:rPr>
        <w:t>Quality Report Template</w:t>
      </w:r>
    </w:p>
    <w:p w14:paraId="64FA829D" w14:textId="77777777" w:rsidR="005E5DE5" w:rsidRPr="00B9172B" w:rsidRDefault="005E5DE5" w:rsidP="004E6D50">
      <w:pPr>
        <w:pStyle w:val="Heading1"/>
        <w:rPr>
          <w:rFonts w:asciiTheme="minorHAnsi" w:hAnsiTheme="minorHAnsi" w:cstheme="minorHAnsi"/>
          <w:sz w:val="16"/>
          <w:szCs w:val="16"/>
        </w:rPr>
      </w:pPr>
    </w:p>
    <w:p w14:paraId="7971B5FF" w14:textId="67AA79CE" w:rsidR="0050628A" w:rsidRPr="00CC1D77" w:rsidRDefault="002117CF" w:rsidP="004E6D50">
      <w:pPr>
        <w:pStyle w:val="Heading1"/>
        <w:rPr>
          <w:rFonts w:asciiTheme="minorHAnsi" w:hAnsiTheme="minorHAnsi" w:cstheme="minorHAnsi"/>
          <w:sz w:val="26"/>
          <w:szCs w:val="26"/>
        </w:rPr>
      </w:pPr>
      <w:r w:rsidRPr="00CC1D77">
        <w:rPr>
          <w:rFonts w:asciiTheme="minorHAnsi" w:hAnsiTheme="minorHAnsi" w:cstheme="minorHAnsi"/>
          <w:sz w:val="26"/>
          <w:szCs w:val="26"/>
        </w:rPr>
        <w:t xml:space="preserve">Section 1 – </w:t>
      </w:r>
      <w:r w:rsidR="00E277DD">
        <w:rPr>
          <w:rFonts w:asciiTheme="minorHAnsi" w:hAnsiTheme="minorHAnsi" w:cstheme="minorHAnsi"/>
          <w:sz w:val="26"/>
          <w:szCs w:val="26"/>
        </w:rPr>
        <w:t>Cover page</w:t>
      </w:r>
    </w:p>
    <w:tbl>
      <w:tblPr>
        <w:tblStyle w:val="LightList-Accent1"/>
        <w:tblW w:w="9322" w:type="dxa"/>
        <w:tblBorders>
          <w:top w:val="single" w:sz="4" w:space="0" w:color="1B75BC" w:themeColor="text2"/>
          <w:left w:val="single" w:sz="4" w:space="0" w:color="1B75BC" w:themeColor="text2"/>
          <w:bottom w:val="single" w:sz="4" w:space="0" w:color="1B75BC" w:themeColor="text2"/>
          <w:right w:val="single" w:sz="4" w:space="0" w:color="1B75BC" w:themeColor="text2"/>
          <w:insideH w:val="single" w:sz="4" w:space="0" w:color="1B75BC" w:themeColor="text2"/>
          <w:insideV w:val="single" w:sz="4" w:space="0" w:color="1B75BC" w:themeColor="text2"/>
        </w:tblBorders>
        <w:tblLook w:val="0200" w:firstRow="0" w:lastRow="0" w:firstColumn="0" w:lastColumn="0" w:noHBand="1" w:noVBand="0"/>
      </w:tblPr>
      <w:tblGrid>
        <w:gridCol w:w="4644"/>
        <w:gridCol w:w="4678"/>
      </w:tblGrid>
      <w:tr w:rsidR="002117CF" w:rsidRPr="0024568B" w14:paraId="46EDAB60" w14:textId="77777777" w:rsidTr="00C86384">
        <w:trPr>
          <w:cantSplit/>
          <w:trHeight w:val="511"/>
          <w:tblHeader/>
        </w:trPr>
        <w:tc>
          <w:tcPr>
            <w:cnfStyle w:val="000010000000" w:firstRow="0" w:lastRow="0" w:firstColumn="0" w:lastColumn="0" w:oddVBand="1" w:evenVBand="0" w:oddHBand="0" w:evenHBand="0" w:firstRowFirstColumn="0" w:firstRowLastColumn="0" w:lastRowFirstColumn="0" w:lastRowLastColumn="0"/>
            <w:tcW w:w="4644" w:type="dxa"/>
            <w:tcBorders>
              <w:top w:val="none" w:sz="0" w:space="0" w:color="auto"/>
              <w:left w:val="none" w:sz="0" w:space="0" w:color="auto"/>
              <w:right w:val="none" w:sz="0" w:space="0" w:color="auto"/>
            </w:tcBorders>
            <w:shd w:val="clear" w:color="auto" w:fill="1B75BC" w:themeFill="text2"/>
          </w:tcPr>
          <w:p w14:paraId="1A5FE63C" w14:textId="77777777" w:rsidR="0050628A" w:rsidRPr="0024568B" w:rsidRDefault="002117CF" w:rsidP="002117CF">
            <w:pPr>
              <w:rPr>
                <w:rFonts w:asciiTheme="minorHAnsi" w:hAnsiTheme="minorHAnsi" w:cstheme="minorHAnsi"/>
                <w:color w:val="FFFFFF" w:themeColor="background1"/>
              </w:rPr>
            </w:pPr>
            <w:r w:rsidRPr="0024568B">
              <w:rPr>
                <w:rFonts w:asciiTheme="minorHAnsi" w:hAnsiTheme="minorHAnsi" w:cstheme="minorHAnsi"/>
                <w:color w:val="FFFFFF" w:themeColor="background1"/>
              </w:rPr>
              <w:t>Information required</w:t>
            </w:r>
          </w:p>
        </w:tc>
        <w:tc>
          <w:tcPr>
            <w:tcW w:w="4678" w:type="dxa"/>
            <w:shd w:val="clear" w:color="auto" w:fill="1B75BC" w:themeFill="text2"/>
          </w:tcPr>
          <w:p w14:paraId="6C10432B" w14:textId="77777777" w:rsidR="0050628A" w:rsidRPr="0024568B" w:rsidRDefault="002117CF" w:rsidP="002117C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rPr>
            </w:pPr>
            <w:r w:rsidRPr="0024568B">
              <w:rPr>
                <w:rFonts w:asciiTheme="minorHAnsi" w:hAnsiTheme="minorHAnsi" w:cstheme="minorHAnsi"/>
                <w:color w:val="FFFFFF" w:themeColor="background1"/>
              </w:rPr>
              <w:t>Detail</w:t>
            </w:r>
          </w:p>
        </w:tc>
      </w:tr>
      <w:tr w:rsidR="0050628A" w:rsidRPr="0024568B" w14:paraId="3405B3D1" w14:textId="77777777" w:rsidTr="00C86384">
        <w:trPr>
          <w:cantSplit/>
          <w:trHeight w:val="528"/>
        </w:trPr>
        <w:tc>
          <w:tcPr>
            <w:cnfStyle w:val="000010000000" w:firstRow="0" w:lastRow="0" w:firstColumn="0" w:lastColumn="0" w:oddVBand="1" w:evenVBand="0" w:oddHBand="0" w:evenHBand="0" w:firstRowFirstColumn="0" w:firstRowLastColumn="0" w:lastRowFirstColumn="0" w:lastRowLastColumn="0"/>
            <w:tcW w:w="4644" w:type="dxa"/>
            <w:tcBorders>
              <w:left w:val="none" w:sz="0" w:space="0" w:color="auto"/>
              <w:right w:val="none" w:sz="0" w:space="0" w:color="auto"/>
            </w:tcBorders>
          </w:tcPr>
          <w:p w14:paraId="26D46B4D" w14:textId="77777777" w:rsidR="0050628A" w:rsidRPr="0024568B" w:rsidRDefault="0050628A" w:rsidP="002C0C61">
            <w:pPr>
              <w:spacing w:before="0" w:after="0" w:line="240" w:lineRule="auto"/>
              <w:rPr>
                <w:rFonts w:asciiTheme="minorHAnsi" w:hAnsiTheme="minorHAnsi" w:cstheme="minorHAnsi"/>
                <w:b/>
                <w:bCs/>
                <w:color w:val="FFFFFF"/>
              </w:rPr>
            </w:pPr>
            <w:r w:rsidRPr="0024568B">
              <w:rPr>
                <w:rFonts w:asciiTheme="minorHAnsi" w:hAnsiTheme="minorHAnsi" w:cstheme="minorHAnsi"/>
              </w:rPr>
              <w:t>Training Package title and code</w:t>
            </w:r>
          </w:p>
        </w:tc>
        <w:tc>
          <w:tcPr>
            <w:tcW w:w="4678" w:type="dxa"/>
          </w:tcPr>
          <w:p w14:paraId="3E253241" w14:textId="74D1E15D" w:rsidR="0050628A" w:rsidRPr="0024568B" w:rsidRDefault="00F06470" w:rsidP="002C0C61">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Pr>
                <w:rFonts w:asciiTheme="minorHAnsi" w:hAnsiTheme="minorHAnsi" w:cstheme="minorHAnsi"/>
                <w:b/>
              </w:rPr>
              <w:t xml:space="preserve">RGR Racing and Breeding Training Package V4.0 </w:t>
            </w:r>
          </w:p>
        </w:tc>
      </w:tr>
      <w:tr w:rsidR="00792828" w:rsidRPr="0024568B" w14:paraId="63C79DF6" w14:textId="77777777" w:rsidTr="00C86384">
        <w:trPr>
          <w:cantSplit/>
          <w:trHeight w:val="513"/>
        </w:trPr>
        <w:tc>
          <w:tcPr>
            <w:cnfStyle w:val="000010000000" w:firstRow="0" w:lastRow="0" w:firstColumn="0" w:lastColumn="0" w:oddVBand="1" w:evenVBand="0" w:oddHBand="0" w:evenHBand="0" w:firstRowFirstColumn="0" w:firstRowLastColumn="0" w:lastRowFirstColumn="0" w:lastRowLastColumn="0"/>
            <w:tcW w:w="4644" w:type="dxa"/>
            <w:tcBorders>
              <w:left w:val="none" w:sz="0" w:space="0" w:color="auto"/>
              <w:right w:val="none" w:sz="0" w:space="0" w:color="auto"/>
            </w:tcBorders>
          </w:tcPr>
          <w:p w14:paraId="59D02859" w14:textId="31B364F4" w:rsidR="00792828" w:rsidRPr="00792828" w:rsidRDefault="00BF7C63" w:rsidP="000543C8">
            <w:pPr>
              <w:spacing w:before="0" w:after="0" w:line="240" w:lineRule="auto"/>
              <w:rPr>
                <w:rFonts w:asciiTheme="minorHAnsi" w:hAnsiTheme="minorHAnsi" w:cstheme="minorHAnsi"/>
                <w:b/>
                <w:bCs/>
              </w:rPr>
            </w:pPr>
            <w:r>
              <w:rPr>
                <w:rFonts w:asciiTheme="minorHAnsi" w:hAnsiTheme="minorHAnsi" w:cstheme="minorHAnsi"/>
              </w:rPr>
              <w:t xml:space="preserve">Number </w:t>
            </w:r>
            <w:r w:rsidR="00792828" w:rsidRPr="00792828">
              <w:rPr>
                <w:rFonts w:asciiTheme="minorHAnsi" w:hAnsiTheme="minorHAnsi" w:cstheme="minorHAnsi"/>
              </w:rPr>
              <w:t>of new qualifications</w:t>
            </w:r>
            <w:r w:rsidR="000543C8">
              <w:rPr>
                <w:rFonts w:asciiTheme="minorHAnsi" w:hAnsiTheme="minorHAnsi" w:cstheme="minorHAnsi"/>
              </w:rPr>
              <w:t xml:space="preserve"> and their t</w:t>
            </w:r>
            <w:r w:rsidR="000543C8" w:rsidRPr="00792828">
              <w:rPr>
                <w:rFonts w:asciiTheme="minorHAnsi" w:hAnsiTheme="minorHAnsi" w:cstheme="minorHAnsi"/>
              </w:rPr>
              <w:t>itles</w:t>
            </w:r>
            <w:r w:rsidR="000543C8">
              <w:rPr>
                <w:rStyle w:val="FootnoteReference"/>
                <w:rFonts w:asciiTheme="minorHAnsi" w:hAnsiTheme="minorHAnsi" w:cstheme="minorHAnsi"/>
              </w:rPr>
              <w:footnoteReference w:id="1"/>
            </w:r>
          </w:p>
        </w:tc>
        <w:tc>
          <w:tcPr>
            <w:tcW w:w="4678" w:type="dxa"/>
          </w:tcPr>
          <w:p w14:paraId="21A8CCDA" w14:textId="5E26F9B2" w:rsidR="00792828" w:rsidRPr="0024568B" w:rsidRDefault="00F06470" w:rsidP="00792828">
            <w:pPr>
              <w:tabs>
                <w:tab w:val="left" w:pos="1005"/>
              </w:tabs>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r>
      <w:tr w:rsidR="00792828" w:rsidRPr="0024568B" w14:paraId="5E149076" w14:textId="77777777" w:rsidTr="00DF5BBE">
        <w:trPr>
          <w:cantSplit/>
          <w:trHeight w:val="528"/>
        </w:trPr>
        <w:tc>
          <w:tcPr>
            <w:cnfStyle w:val="000010000000" w:firstRow="0" w:lastRow="0" w:firstColumn="0" w:lastColumn="0" w:oddVBand="1" w:evenVBand="0" w:oddHBand="0" w:evenHBand="0" w:firstRowFirstColumn="0" w:firstRowLastColumn="0" w:lastRowFirstColumn="0" w:lastRowLastColumn="0"/>
            <w:tcW w:w="4644" w:type="dxa"/>
            <w:tcBorders>
              <w:left w:val="none" w:sz="0" w:space="0" w:color="auto"/>
              <w:bottom w:val="single" w:sz="4" w:space="0" w:color="1B75BC" w:themeColor="text2"/>
              <w:right w:val="none" w:sz="0" w:space="0" w:color="auto"/>
            </w:tcBorders>
          </w:tcPr>
          <w:p w14:paraId="7C03CD3E" w14:textId="0C85413B" w:rsidR="00792828" w:rsidRPr="00DF5BBE" w:rsidRDefault="00BF7C63" w:rsidP="000543C8">
            <w:pPr>
              <w:spacing w:before="0" w:after="0" w:line="240" w:lineRule="auto"/>
              <w:rPr>
                <w:rFonts w:asciiTheme="minorHAnsi" w:hAnsiTheme="minorHAnsi" w:cstheme="minorHAnsi"/>
              </w:rPr>
            </w:pPr>
            <w:r>
              <w:rPr>
                <w:rFonts w:asciiTheme="minorHAnsi" w:hAnsiTheme="minorHAnsi" w:cstheme="minorHAnsi"/>
              </w:rPr>
              <w:t xml:space="preserve">Number </w:t>
            </w:r>
            <w:r w:rsidR="00792828" w:rsidRPr="00792828">
              <w:rPr>
                <w:rFonts w:asciiTheme="minorHAnsi" w:hAnsiTheme="minorHAnsi" w:cstheme="minorHAnsi"/>
              </w:rPr>
              <w:t>of revised qualifications</w:t>
            </w:r>
            <w:r w:rsidR="000543C8">
              <w:rPr>
                <w:rFonts w:asciiTheme="minorHAnsi" w:hAnsiTheme="minorHAnsi" w:cstheme="minorHAnsi"/>
              </w:rPr>
              <w:t xml:space="preserve"> and their t</w:t>
            </w:r>
            <w:r w:rsidR="000543C8" w:rsidRPr="00792828">
              <w:rPr>
                <w:rFonts w:asciiTheme="minorHAnsi" w:hAnsiTheme="minorHAnsi" w:cstheme="minorHAnsi"/>
              </w:rPr>
              <w:t>itles</w:t>
            </w:r>
          </w:p>
        </w:tc>
        <w:tc>
          <w:tcPr>
            <w:tcW w:w="4678" w:type="dxa"/>
            <w:tcBorders>
              <w:bottom w:val="single" w:sz="4" w:space="0" w:color="1B75BC" w:themeColor="text2"/>
            </w:tcBorders>
          </w:tcPr>
          <w:p w14:paraId="2D13C6B5" w14:textId="77777777" w:rsidR="00792828" w:rsidRDefault="00F06470" w:rsidP="00792828">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2</w:t>
            </w:r>
          </w:p>
          <w:p w14:paraId="0E3CA331" w14:textId="489594AB" w:rsidR="00F06470" w:rsidRDefault="00F06470" w:rsidP="00792828">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RGR20221 Certificate II in Racing Industry</w:t>
            </w:r>
          </w:p>
          <w:p w14:paraId="38E5AC6C" w14:textId="161B1283" w:rsidR="00F06470" w:rsidRPr="00DF5BBE" w:rsidRDefault="00F06470" w:rsidP="00792828">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RGR40221 Certificate IV in Racing Industry (Jockey) </w:t>
            </w:r>
          </w:p>
        </w:tc>
      </w:tr>
      <w:tr w:rsidR="00792828" w:rsidRPr="0024568B" w14:paraId="5D16451C" w14:textId="77777777" w:rsidTr="00DF5BBE">
        <w:trPr>
          <w:cantSplit/>
          <w:trHeight w:val="528"/>
        </w:trPr>
        <w:tc>
          <w:tcPr>
            <w:cnfStyle w:val="000010000000" w:firstRow="0" w:lastRow="0" w:firstColumn="0" w:lastColumn="0" w:oddVBand="1" w:evenVBand="0" w:oddHBand="0" w:evenHBand="0" w:firstRowFirstColumn="0" w:firstRowLastColumn="0" w:lastRowFirstColumn="0" w:lastRowLastColumn="0"/>
            <w:tcW w:w="4644" w:type="dxa"/>
            <w:tcBorders>
              <w:left w:val="single" w:sz="4" w:space="0" w:color="1B75BC" w:themeColor="text2"/>
              <w:bottom w:val="single" w:sz="4" w:space="0" w:color="1B75BC" w:themeColor="text2"/>
              <w:right w:val="single" w:sz="4" w:space="0" w:color="1B75BC" w:themeColor="text2"/>
            </w:tcBorders>
          </w:tcPr>
          <w:p w14:paraId="5A1B02C1" w14:textId="2A0FF1E9" w:rsidR="00792828" w:rsidRPr="00792828" w:rsidRDefault="00BF7C63" w:rsidP="000543C8">
            <w:pPr>
              <w:spacing w:before="0" w:after="0" w:line="240" w:lineRule="auto"/>
              <w:rPr>
                <w:rFonts w:asciiTheme="minorHAnsi" w:hAnsiTheme="minorHAnsi" w:cstheme="minorHAnsi"/>
              </w:rPr>
            </w:pPr>
            <w:r>
              <w:rPr>
                <w:rFonts w:asciiTheme="minorHAnsi" w:hAnsiTheme="minorHAnsi" w:cstheme="minorHAnsi"/>
              </w:rPr>
              <w:t xml:space="preserve">Number </w:t>
            </w:r>
            <w:r w:rsidR="00792828" w:rsidRPr="00792828">
              <w:rPr>
                <w:rFonts w:asciiTheme="minorHAnsi" w:hAnsiTheme="minorHAnsi" w:cstheme="minorHAnsi"/>
              </w:rPr>
              <w:t>of new units of competency</w:t>
            </w:r>
            <w:r w:rsidR="000543C8">
              <w:rPr>
                <w:rFonts w:asciiTheme="minorHAnsi" w:hAnsiTheme="minorHAnsi" w:cstheme="minorHAnsi"/>
              </w:rPr>
              <w:t xml:space="preserve"> and their t</w:t>
            </w:r>
            <w:r w:rsidR="000543C8" w:rsidRPr="00792828">
              <w:rPr>
                <w:rFonts w:asciiTheme="minorHAnsi" w:hAnsiTheme="minorHAnsi" w:cstheme="minorHAnsi"/>
              </w:rPr>
              <w:t>itles</w:t>
            </w:r>
          </w:p>
        </w:tc>
        <w:tc>
          <w:tcPr>
            <w:tcW w:w="4678" w:type="dxa"/>
            <w:tcBorders>
              <w:left w:val="single" w:sz="4" w:space="0" w:color="1B75BC" w:themeColor="text2"/>
            </w:tcBorders>
          </w:tcPr>
          <w:p w14:paraId="5945929C" w14:textId="27A1DBFF" w:rsidR="00792828" w:rsidRPr="00DF5BBE" w:rsidRDefault="00F06470" w:rsidP="00792828">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0</w:t>
            </w:r>
          </w:p>
        </w:tc>
      </w:tr>
      <w:tr w:rsidR="00792828" w:rsidRPr="0024568B" w14:paraId="5BDDFC85" w14:textId="77777777" w:rsidTr="00DF5BBE">
        <w:trPr>
          <w:cantSplit/>
          <w:trHeight w:val="528"/>
        </w:trPr>
        <w:tc>
          <w:tcPr>
            <w:cnfStyle w:val="000010000000" w:firstRow="0" w:lastRow="0" w:firstColumn="0" w:lastColumn="0" w:oddVBand="1" w:evenVBand="0" w:oddHBand="0" w:evenHBand="0" w:firstRowFirstColumn="0" w:firstRowLastColumn="0" w:lastRowFirstColumn="0" w:lastRowLastColumn="0"/>
            <w:tcW w:w="4644" w:type="dxa"/>
            <w:tcBorders>
              <w:left w:val="single" w:sz="4" w:space="0" w:color="1B75BC" w:themeColor="text2"/>
              <w:right w:val="single" w:sz="4" w:space="0" w:color="1B75BC" w:themeColor="text2"/>
            </w:tcBorders>
          </w:tcPr>
          <w:p w14:paraId="4D788D85" w14:textId="31158DAE" w:rsidR="00792828" w:rsidRPr="00792828" w:rsidRDefault="00BF7C63" w:rsidP="000543C8">
            <w:pPr>
              <w:spacing w:before="0" w:after="0" w:line="240" w:lineRule="auto"/>
              <w:rPr>
                <w:rFonts w:asciiTheme="minorHAnsi" w:hAnsiTheme="minorHAnsi" w:cstheme="minorHAnsi"/>
              </w:rPr>
            </w:pPr>
            <w:r>
              <w:rPr>
                <w:rFonts w:asciiTheme="minorHAnsi" w:hAnsiTheme="minorHAnsi" w:cstheme="minorHAnsi"/>
              </w:rPr>
              <w:t xml:space="preserve">Number </w:t>
            </w:r>
            <w:r w:rsidR="00792828" w:rsidRPr="00792828">
              <w:rPr>
                <w:rFonts w:asciiTheme="minorHAnsi" w:hAnsiTheme="minorHAnsi" w:cstheme="minorHAnsi"/>
              </w:rPr>
              <w:t>of revised units of competency</w:t>
            </w:r>
            <w:r w:rsidR="000543C8">
              <w:rPr>
                <w:rFonts w:asciiTheme="minorHAnsi" w:hAnsiTheme="minorHAnsi" w:cstheme="minorHAnsi"/>
              </w:rPr>
              <w:t xml:space="preserve"> and their t</w:t>
            </w:r>
            <w:r w:rsidR="000543C8" w:rsidRPr="00792828">
              <w:rPr>
                <w:rFonts w:asciiTheme="minorHAnsi" w:hAnsiTheme="minorHAnsi" w:cstheme="minorHAnsi"/>
              </w:rPr>
              <w:t>itles</w:t>
            </w:r>
          </w:p>
        </w:tc>
        <w:tc>
          <w:tcPr>
            <w:tcW w:w="4678" w:type="dxa"/>
            <w:tcBorders>
              <w:left w:val="single" w:sz="4" w:space="0" w:color="1B75BC" w:themeColor="text2"/>
            </w:tcBorders>
          </w:tcPr>
          <w:p w14:paraId="24DA0AD3" w14:textId="07818627" w:rsidR="00792828" w:rsidRPr="00DF5BBE" w:rsidRDefault="00F06470" w:rsidP="00792828">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0</w:t>
            </w:r>
          </w:p>
        </w:tc>
      </w:tr>
      <w:tr w:rsidR="00F06470" w:rsidRPr="0024568B" w14:paraId="63248E94" w14:textId="77777777" w:rsidTr="00EB72A1">
        <w:trPr>
          <w:cantSplit/>
          <w:trHeight w:val="1940"/>
        </w:trPr>
        <w:tc>
          <w:tcPr>
            <w:cnfStyle w:val="000010000000" w:firstRow="0" w:lastRow="0" w:firstColumn="0" w:lastColumn="0" w:oddVBand="1" w:evenVBand="0" w:oddHBand="0" w:evenHBand="0" w:firstRowFirstColumn="0" w:firstRowLastColumn="0" w:lastRowFirstColumn="0" w:lastRowLastColumn="0"/>
            <w:tcW w:w="4644" w:type="dxa"/>
            <w:tcBorders>
              <w:left w:val="none" w:sz="0" w:space="0" w:color="auto"/>
              <w:bottom w:val="single" w:sz="4" w:space="0" w:color="14578C" w:themeColor="accent2" w:themeShade="BF"/>
              <w:right w:val="none" w:sz="0" w:space="0" w:color="auto"/>
            </w:tcBorders>
          </w:tcPr>
          <w:p w14:paraId="55F6E7EA" w14:textId="221AA916" w:rsidR="00F06470" w:rsidRPr="0024568B" w:rsidRDefault="00F06470" w:rsidP="00F06470">
            <w:pPr>
              <w:spacing w:before="0" w:after="0" w:line="240" w:lineRule="auto"/>
              <w:rPr>
                <w:rFonts w:asciiTheme="minorHAnsi" w:hAnsiTheme="minorHAnsi" w:cstheme="minorHAnsi"/>
              </w:rPr>
            </w:pPr>
            <w:r>
              <w:rPr>
                <w:rFonts w:asciiTheme="minorHAnsi" w:hAnsiTheme="minorHAnsi" w:cstheme="minorHAnsi"/>
              </w:rPr>
              <w:t>Confirmation</w:t>
            </w:r>
            <w:r w:rsidRPr="0024568B">
              <w:rPr>
                <w:rFonts w:asciiTheme="minorHAnsi" w:hAnsiTheme="minorHAnsi" w:cstheme="minorHAnsi"/>
              </w:rPr>
              <w:t xml:space="preserve"> that the panel member</w:t>
            </w:r>
            <w:r>
              <w:rPr>
                <w:rFonts w:asciiTheme="minorHAnsi" w:hAnsiTheme="minorHAnsi" w:cstheme="minorHAnsi"/>
              </w:rPr>
              <w:t xml:space="preserve"> is independent of:</w:t>
            </w:r>
          </w:p>
          <w:p w14:paraId="7C2BEF2B" w14:textId="771C8312" w:rsidR="00F06470" w:rsidRPr="00C86384" w:rsidRDefault="00F06470" w:rsidP="00F06470">
            <w:pPr>
              <w:pStyle w:val="ListParagraph"/>
              <w:numPr>
                <w:ilvl w:val="0"/>
                <w:numId w:val="12"/>
              </w:numPr>
              <w:spacing w:before="0" w:after="0" w:line="240" w:lineRule="auto"/>
              <w:ind w:left="284" w:hanging="284"/>
              <w:rPr>
                <w:rFonts w:asciiTheme="minorHAnsi" w:hAnsiTheme="minorHAnsi" w:cstheme="minorHAnsi"/>
              </w:rPr>
            </w:pPr>
            <w:r w:rsidRPr="00C86384">
              <w:rPr>
                <w:rFonts w:asciiTheme="minorHAnsi" w:hAnsiTheme="minorHAnsi" w:cstheme="minorHAnsi"/>
              </w:rPr>
              <w:t xml:space="preserve">the Training Package or Training Package components </w:t>
            </w:r>
            <w:r>
              <w:rPr>
                <w:rFonts w:asciiTheme="minorHAnsi" w:hAnsiTheme="minorHAnsi" w:cstheme="minorHAnsi"/>
              </w:rPr>
              <w:t>review (‘Yes’ or ‘No’)</w:t>
            </w:r>
          </w:p>
          <w:p w14:paraId="3C834BCB" w14:textId="3B7535DD" w:rsidR="00F06470" w:rsidRPr="00094393" w:rsidRDefault="00F06470" w:rsidP="00F06470">
            <w:pPr>
              <w:pStyle w:val="ListParagraph"/>
              <w:numPr>
                <w:ilvl w:val="0"/>
                <w:numId w:val="12"/>
              </w:numPr>
              <w:spacing w:before="0" w:after="0" w:line="240" w:lineRule="auto"/>
              <w:ind w:left="284" w:hanging="284"/>
              <w:rPr>
                <w:rFonts w:asciiTheme="minorHAnsi" w:hAnsiTheme="minorHAnsi" w:cstheme="minorHAnsi"/>
              </w:rPr>
            </w:pPr>
            <w:r w:rsidRPr="00C86384">
              <w:rPr>
                <w:rFonts w:asciiTheme="minorHAnsi" w:hAnsiTheme="minorHAnsi" w:cstheme="minorHAnsi"/>
              </w:rPr>
              <w:t xml:space="preserve">development and/or validation activities associated with the </w:t>
            </w:r>
            <w:r w:rsidRPr="00DF5BBE">
              <w:rPr>
                <w:rFonts w:asciiTheme="minorHAnsi" w:hAnsiTheme="minorHAnsi" w:cstheme="minorHAnsi"/>
              </w:rPr>
              <w:t>Case for Endorsement</w:t>
            </w:r>
          </w:p>
          <w:p w14:paraId="1AA0293E" w14:textId="01176421" w:rsidR="00F06470" w:rsidRPr="00094393" w:rsidRDefault="00F06470" w:rsidP="00F06470">
            <w:pPr>
              <w:pStyle w:val="ListParagraph"/>
              <w:spacing w:before="0" w:after="0" w:line="240" w:lineRule="auto"/>
              <w:ind w:left="284"/>
              <w:rPr>
                <w:rFonts w:asciiTheme="minorHAnsi" w:hAnsiTheme="minorHAnsi" w:cstheme="minorHAnsi"/>
              </w:rPr>
            </w:pPr>
            <w:r w:rsidRPr="00094393">
              <w:rPr>
                <w:rFonts w:asciiTheme="minorHAnsi" w:hAnsiTheme="minorHAnsi" w:cstheme="minorHAnsi"/>
              </w:rPr>
              <w:t>(‘Yes’ or ‘No’)</w:t>
            </w:r>
          </w:p>
          <w:p w14:paraId="13FF784D" w14:textId="156AE6E5" w:rsidR="00F06470" w:rsidRPr="00DF5BBE" w:rsidRDefault="00F06470" w:rsidP="00F06470">
            <w:pPr>
              <w:pStyle w:val="ListParagraph"/>
              <w:numPr>
                <w:ilvl w:val="0"/>
                <w:numId w:val="12"/>
              </w:numPr>
              <w:spacing w:before="0" w:after="0" w:line="240" w:lineRule="auto"/>
              <w:ind w:left="284" w:hanging="284"/>
              <w:rPr>
                <w:rFonts w:asciiTheme="minorHAnsi" w:hAnsiTheme="minorHAnsi" w:cstheme="minorHAnsi"/>
              </w:rPr>
            </w:pPr>
            <w:r>
              <w:rPr>
                <w:rFonts w:asciiTheme="minorHAnsi" w:hAnsiTheme="minorHAnsi" w:cstheme="minorHAnsi"/>
              </w:rPr>
              <w:t>undertaking</w:t>
            </w:r>
            <w:r w:rsidRPr="00C86384">
              <w:rPr>
                <w:rFonts w:asciiTheme="minorHAnsi" w:hAnsiTheme="minorHAnsi" w:cstheme="minorHAnsi"/>
              </w:rPr>
              <w:t xml:space="preserve"> the </w:t>
            </w:r>
            <w:r w:rsidRPr="00DF5BBE">
              <w:rPr>
                <w:rFonts w:asciiTheme="minorHAnsi" w:hAnsiTheme="minorHAnsi" w:cstheme="minorHAnsi"/>
              </w:rPr>
              <w:t>Equity</w:t>
            </w:r>
            <w:r w:rsidRPr="00C86384">
              <w:rPr>
                <w:rFonts w:asciiTheme="minorHAnsi" w:hAnsiTheme="minorHAnsi" w:cstheme="minorHAnsi"/>
              </w:rPr>
              <w:t xml:space="preserve"> and/or </w:t>
            </w:r>
            <w:r w:rsidRPr="00DF5BBE">
              <w:rPr>
                <w:rFonts w:asciiTheme="minorHAnsi" w:hAnsiTheme="minorHAnsi" w:cstheme="minorHAnsi"/>
              </w:rPr>
              <w:t>Editorial Reports</w:t>
            </w:r>
            <w:r w:rsidRPr="00C86384">
              <w:rPr>
                <w:rFonts w:asciiTheme="minorHAnsi" w:hAnsiTheme="minorHAnsi" w:cstheme="minorHAnsi"/>
              </w:rPr>
              <w:t xml:space="preserve"> for the training</w:t>
            </w:r>
            <w:r>
              <w:rPr>
                <w:rFonts w:asciiTheme="minorHAnsi" w:hAnsiTheme="minorHAnsi" w:cstheme="minorHAnsi"/>
              </w:rPr>
              <w:t xml:space="preserve"> package</w:t>
            </w:r>
            <w:r w:rsidRPr="00C86384">
              <w:rPr>
                <w:rFonts w:asciiTheme="minorHAnsi" w:hAnsiTheme="minorHAnsi" w:cstheme="minorHAnsi"/>
              </w:rPr>
              <w:t xml:space="preserve"> product</w:t>
            </w:r>
            <w:r>
              <w:rPr>
                <w:rFonts w:asciiTheme="minorHAnsi" w:hAnsiTheme="minorHAnsi" w:cstheme="minorHAnsi"/>
              </w:rPr>
              <w:t>s</w:t>
            </w:r>
            <w:r w:rsidRPr="00C86384">
              <w:rPr>
                <w:rFonts w:asciiTheme="minorHAnsi" w:hAnsiTheme="minorHAnsi" w:cstheme="minorHAnsi"/>
              </w:rPr>
              <w:t xml:space="preserve"> that </w:t>
            </w:r>
            <w:r>
              <w:rPr>
                <w:rFonts w:asciiTheme="minorHAnsi" w:hAnsiTheme="minorHAnsi" w:cstheme="minorHAnsi"/>
              </w:rPr>
              <w:t>are</w:t>
            </w:r>
            <w:r w:rsidRPr="00C86384">
              <w:rPr>
                <w:rFonts w:asciiTheme="minorHAnsi" w:hAnsiTheme="minorHAnsi" w:cstheme="minorHAnsi"/>
              </w:rPr>
              <w:t xml:space="preserve"> the subject </w:t>
            </w:r>
            <w:r>
              <w:rPr>
                <w:rFonts w:asciiTheme="minorHAnsi" w:hAnsiTheme="minorHAnsi" w:cstheme="minorHAnsi"/>
              </w:rPr>
              <w:t xml:space="preserve">of </w:t>
            </w:r>
            <w:r w:rsidRPr="00C86384">
              <w:rPr>
                <w:rFonts w:asciiTheme="minorHAnsi" w:hAnsiTheme="minorHAnsi" w:cstheme="minorHAnsi"/>
              </w:rPr>
              <w:t>this quality report</w:t>
            </w:r>
            <w:r>
              <w:rPr>
                <w:rFonts w:asciiTheme="minorHAnsi" w:hAnsiTheme="minorHAnsi" w:cstheme="minorHAnsi"/>
              </w:rPr>
              <w:t xml:space="preserve"> (‘Yes’ or ‘No’)</w:t>
            </w:r>
          </w:p>
        </w:tc>
        <w:tc>
          <w:tcPr>
            <w:tcW w:w="4678" w:type="dxa"/>
            <w:tcBorders>
              <w:bottom w:val="single" w:sz="4" w:space="0" w:color="14578C" w:themeColor="accent2" w:themeShade="BF"/>
            </w:tcBorders>
          </w:tcPr>
          <w:p w14:paraId="74752FF7" w14:textId="77777777" w:rsidR="00F06470" w:rsidRPr="007A69EB" w:rsidRDefault="00F06470" w:rsidP="00F06470">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7A69EB">
              <w:rPr>
                <w:rFonts w:asciiTheme="minorHAnsi" w:hAnsiTheme="minorHAnsi" w:cstheme="minorHAnsi"/>
              </w:rPr>
              <w:t>I</w:t>
            </w:r>
            <w:r>
              <w:rPr>
                <w:rFonts w:asciiTheme="minorHAnsi" w:hAnsiTheme="minorHAnsi" w:cstheme="minorHAnsi"/>
              </w:rPr>
              <w:t xml:space="preserve"> confirm that I, Maree Thorne, </w:t>
            </w:r>
            <w:proofErr w:type="spellStart"/>
            <w:r>
              <w:rPr>
                <w:rFonts w:asciiTheme="minorHAnsi" w:hAnsiTheme="minorHAnsi" w:cstheme="minorHAnsi"/>
              </w:rPr>
              <w:t>am</w:t>
            </w:r>
            <w:proofErr w:type="spellEnd"/>
            <w:r w:rsidRPr="007A69EB">
              <w:rPr>
                <w:rFonts w:asciiTheme="minorHAnsi" w:hAnsiTheme="minorHAnsi" w:cstheme="minorHAnsi"/>
              </w:rPr>
              <w:t xml:space="preserve"> independent of: </w:t>
            </w:r>
          </w:p>
          <w:p w14:paraId="4EBE1C2D" w14:textId="77777777" w:rsidR="00F06470" w:rsidRPr="00013B32" w:rsidRDefault="00F06470" w:rsidP="00F06470">
            <w:pPr>
              <w:pStyle w:val="Tablebullet"/>
              <w:cnfStyle w:val="000000000000" w:firstRow="0" w:lastRow="0" w:firstColumn="0" w:lastColumn="0" w:oddVBand="0" w:evenVBand="0" w:oddHBand="0" w:evenHBand="0" w:firstRowFirstColumn="0" w:firstRowLastColumn="0" w:lastRowFirstColumn="0" w:lastRowLastColumn="0"/>
            </w:pPr>
            <w:r w:rsidRPr="007A69EB">
              <w:t xml:space="preserve">the Training Package or Training Package components </w:t>
            </w:r>
            <w:r>
              <w:t>review (YES</w:t>
            </w:r>
            <w:r w:rsidRPr="007A69EB">
              <w:t>)</w:t>
            </w:r>
          </w:p>
          <w:p w14:paraId="6E4BD784" w14:textId="77777777" w:rsidR="00F06470" w:rsidRPr="007A69EB" w:rsidRDefault="00F06470" w:rsidP="00F06470">
            <w:pPr>
              <w:pStyle w:val="Tablebullet"/>
              <w:cnfStyle w:val="000000000000" w:firstRow="0" w:lastRow="0" w:firstColumn="0" w:lastColumn="0" w:oddVBand="0" w:evenVBand="0" w:oddHBand="0" w:evenHBand="0" w:firstRowFirstColumn="0" w:firstRowLastColumn="0" w:lastRowFirstColumn="0" w:lastRowLastColumn="0"/>
            </w:pPr>
            <w:r w:rsidRPr="007A69EB">
              <w:t>development and/or validation activities associated with the Case for Endorsement</w:t>
            </w:r>
          </w:p>
          <w:p w14:paraId="36670CEF" w14:textId="77777777" w:rsidR="00F06470" w:rsidRDefault="00F06470" w:rsidP="00F06470">
            <w:pPr>
              <w:pStyle w:val="Tablebullet"/>
              <w:numPr>
                <w:ilvl w:val="0"/>
                <w:numId w:val="0"/>
              </w:numPr>
              <w:ind w:left="170"/>
              <w:cnfStyle w:val="000000000000" w:firstRow="0" w:lastRow="0" w:firstColumn="0" w:lastColumn="0" w:oddVBand="0" w:evenVBand="0" w:oddHBand="0" w:evenHBand="0" w:firstRowFirstColumn="0" w:firstRowLastColumn="0" w:lastRowFirstColumn="0" w:lastRowLastColumn="0"/>
            </w:pPr>
            <w:r>
              <w:t>(YES)</w:t>
            </w:r>
          </w:p>
          <w:p w14:paraId="4AB6D560" w14:textId="614F3311" w:rsidR="00F06470" w:rsidRPr="00F06470" w:rsidRDefault="00F06470" w:rsidP="00F06470">
            <w:pPr>
              <w:pStyle w:val="Tablebullet"/>
              <w:cnfStyle w:val="000000000000" w:firstRow="0" w:lastRow="0" w:firstColumn="0" w:lastColumn="0" w:oddVBand="0" w:evenVBand="0" w:oddHBand="0" w:evenHBand="0" w:firstRowFirstColumn="0" w:firstRowLastColumn="0" w:lastRowFirstColumn="0" w:lastRowLastColumn="0"/>
            </w:pPr>
            <w:r w:rsidRPr="00F06470">
              <w:t>undertaking the Equity and/or Editorial Reports for the training package products that are the subject of this quality report (YES)</w:t>
            </w:r>
          </w:p>
        </w:tc>
      </w:tr>
      <w:tr w:rsidR="00F06470" w:rsidRPr="0024568B" w14:paraId="59086739" w14:textId="77777777" w:rsidTr="00EB72A1">
        <w:trPr>
          <w:cantSplit/>
          <w:trHeight w:val="704"/>
        </w:trPr>
        <w:tc>
          <w:tcPr>
            <w:cnfStyle w:val="000010000000" w:firstRow="0" w:lastRow="0" w:firstColumn="0" w:lastColumn="0" w:oddVBand="1" w:evenVBand="0" w:oddHBand="0" w:evenHBand="0" w:firstRowFirstColumn="0" w:firstRowLastColumn="0" w:lastRowFirstColumn="0" w:lastRowLastColumn="0"/>
            <w:tcW w:w="4644" w:type="dxa"/>
            <w:tcBorders>
              <w:top w:val="single" w:sz="4" w:space="0" w:color="14578C" w:themeColor="accent2" w:themeShade="BF"/>
              <w:left w:val="single" w:sz="4" w:space="0" w:color="14578C" w:themeColor="accent2" w:themeShade="BF"/>
              <w:bottom w:val="single" w:sz="4" w:space="0" w:color="14578C" w:themeColor="accent2" w:themeShade="BF"/>
              <w:right w:val="single" w:sz="4" w:space="0" w:color="14578C" w:themeColor="accent2" w:themeShade="BF"/>
            </w:tcBorders>
          </w:tcPr>
          <w:p w14:paraId="34B92272" w14:textId="1AAF0DF7" w:rsidR="00F06470" w:rsidRPr="0024568B" w:rsidRDefault="00F06470" w:rsidP="00F06470">
            <w:pPr>
              <w:spacing w:before="0" w:after="0" w:line="240" w:lineRule="auto"/>
              <w:rPr>
                <w:rFonts w:asciiTheme="minorHAnsi" w:hAnsiTheme="minorHAnsi" w:cstheme="minorHAnsi"/>
              </w:rPr>
            </w:pPr>
            <w:r>
              <w:rPr>
                <w:rFonts w:asciiTheme="minorHAnsi" w:hAnsiTheme="minorHAnsi" w:cstheme="minorHAnsi"/>
              </w:rPr>
              <w:t xml:space="preserve">Confirmation of the Training Packages or components thereof being compliant with the </w:t>
            </w:r>
            <w:r w:rsidRPr="004B121A">
              <w:rPr>
                <w:rFonts w:asciiTheme="minorHAnsi" w:hAnsiTheme="minorHAnsi" w:cstheme="minorHAnsi"/>
                <w:i/>
              </w:rPr>
              <w:t xml:space="preserve">Standards </w:t>
            </w:r>
            <w:r>
              <w:rPr>
                <w:rFonts w:asciiTheme="minorHAnsi" w:hAnsiTheme="minorHAnsi" w:cstheme="minorHAnsi"/>
                <w:i/>
              </w:rPr>
              <w:t xml:space="preserve">for </w:t>
            </w:r>
            <w:r w:rsidRPr="004B121A">
              <w:rPr>
                <w:rFonts w:asciiTheme="minorHAnsi" w:hAnsiTheme="minorHAnsi" w:cstheme="minorHAnsi"/>
                <w:i/>
              </w:rPr>
              <w:t>Training Package</w:t>
            </w:r>
            <w:r>
              <w:rPr>
                <w:rFonts w:asciiTheme="minorHAnsi" w:hAnsiTheme="minorHAnsi" w:cstheme="minorHAnsi"/>
                <w:i/>
              </w:rPr>
              <w:t>s</w:t>
            </w:r>
            <w:r w:rsidRPr="004B121A">
              <w:rPr>
                <w:rFonts w:asciiTheme="minorHAnsi" w:hAnsiTheme="minorHAnsi" w:cstheme="minorHAnsi"/>
                <w:i/>
              </w:rPr>
              <w:t xml:space="preserve"> 2012</w:t>
            </w:r>
          </w:p>
        </w:tc>
        <w:tc>
          <w:tcPr>
            <w:tcW w:w="4678" w:type="dxa"/>
            <w:tcBorders>
              <w:top w:val="single" w:sz="4" w:space="0" w:color="14578C" w:themeColor="accent2" w:themeShade="BF"/>
              <w:left w:val="single" w:sz="4" w:space="0" w:color="14578C" w:themeColor="accent2" w:themeShade="BF"/>
              <w:bottom w:val="single" w:sz="4" w:space="0" w:color="14578C" w:themeColor="accent2" w:themeShade="BF"/>
              <w:right w:val="single" w:sz="4" w:space="0" w:color="14578C" w:themeColor="accent2" w:themeShade="BF"/>
            </w:tcBorders>
          </w:tcPr>
          <w:p w14:paraId="3D6B50D2" w14:textId="264D9196" w:rsidR="00F06470" w:rsidRPr="0024568B" w:rsidRDefault="00926FC6" w:rsidP="00F06470">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Pr>
                <w:rFonts w:asciiTheme="minorHAnsi" w:hAnsiTheme="minorHAnsi" w:cstheme="minorHAnsi"/>
                <w:b/>
              </w:rPr>
              <w:t xml:space="preserve">Yes, I confirm that the Training Package components for endorsement are compliant with the </w:t>
            </w:r>
            <w:r>
              <w:rPr>
                <w:rFonts w:asciiTheme="minorHAnsi" w:hAnsiTheme="minorHAnsi" w:cstheme="minorHAnsi"/>
                <w:b/>
                <w:i/>
                <w:iCs/>
              </w:rPr>
              <w:t>Standards for Training Packages 2012</w:t>
            </w:r>
          </w:p>
        </w:tc>
      </w:tr>
      <w:tr w:rsidR="00F06470" w:rsidRPr="0024568B" w14:paraId="1BAA671B" w14:textId="77777777" w:rsidTr="00EB72A1">
        <w:trPr>
          <w:cantSplit/>
          <w:trHeight w:val="704"/>
        </w:trPr>
        <w:tc>
          <w:tcPr>
            <w:cnfStyle w:val="000010000000" w:firstRow="0" w:lastRow="0" w:firstColumn="0" w:lastColumn="0" w:oddVBand="1" w:evenVBand="0" w:oddHBand="0" w:evenHBand="0" w:firstRowFirstColumn="0" w:firstRowLastColumn="0" w:lastRowFirstColumn="0" w:lastRowLastColumn="0"/>
            <w:tcW w:w="4644" w:type="dxa"/>
            <w:tcBorders>
              <w:top w:val="single" w:sz="4" w:space="0" w:color="14578C" w:themeColor="accent2" w:themeShade="BF"/>
              <w:left w:val="single" w:sz="4" w:space="0" w:color="14578C" w:themeColor="accent2" w:themeShade="BF"/>
              <w:bottom w:val="single" w:sz="4" w:space="0" w:color="14578C" w:themeColor="accent2" w:themeShade="BF"/>
              <w:right w:val="single" w:sz="4" w:space="0" w:color="14578C" w:themeColor="accent2" w:themeShade="BF"/>
            </w:tcBorders>
          </w:tcPr>
          <w:p w14:paraId="5779F7D3" w14:textId="6E4CEE5D" w:rsidR="00F06470" w:rsidRPr="0024568B" w:rsidRDefault="00F06470" w:rsidP="00F06470">
            <w:pPr>
              <w:spacing w:before="0" w:after="0" w:line="240" w:lineRule="auto"/>
              <w:rPr>
                <w:rFonts w:asciiTheme="minorHAnsi" w:hAnsiTheme="minorHAnsi" w:cstheme="minorHAnsi"/>
              </w:rPr>
            </w:pPr>
            <w:r>
              <w:rPr>
                <w:rFonts w:asciiTheme="minorHAnsi" w:hAnsiTheme="minorHAnsi" w:cstheme="minorHAnsi"/>
              </w:rPr>
              <w:t xml:space="preserve">Confirmation of the Training Packages or components thereof being compliant with the </w:t>
            </w:r>
            <w:r w:rsidRPr="004B121A">
              <w:rPr>
                <w:rFonts w:asciiTheme="minorHAnsi" w:hAnsiTheme="minorHAnsi" w:cstheme="minorHAnsi"/>
                <w:i/>
              </w:rPr>
              <w:t>Training Package Products Policy</w:t>
            </w:r>
          </w:p>
        </w:tc>
        <w:tc>
          <w:tcPr>
            <w:tcW w:w="4678" w:type="dxa"/>
            <w:tcBorders>
              <w:top w:val="single" w:sz="4" w:space="0" w:color="14578C" w:themeColor="accent2" w:themeShade="BF"/>
              <w:left w:val="single" w:sz="4" w:space="0" w:color="14578C" w:themeColor="accent2" w:themeShade="BF"/>
              <w:bottom w:val="single" w:sz="4" w:space="0" w:color="14578C" w:themeColor="accent2" w:themeShade="BF"/>
              <w:right w:val="single" w:sz="4" w:space="0" w:color="14578C" w:themeColor="accent2" w:themeShade="BF"/>
            </w:tcBorders>
          </w:tcPr>
          <w:p w14:paraId="7D25513C" w14:textId="744C82E9" w:rsidR="00F06470" w:rsidRPr="0024568B" w:rsidRDefault="00926FC6" w:rsidP="00F06470">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Pr>
                <w:rFonts w:asciiTheme="minorHAnsi" w:hAnsiTheme="minorHAnsi" w:cstheme="minorHAnsi"/>
                <w:b/>
              </w:rPr>
              <w:t xml:space="preserve">Yes, I confirm that the Training Package components for endorsement are compliant with the </w:t>
            </w:r>
            <w:r w:rsidRPr="008430B8">
              <w:rPr>
                <w:rFonts w:asciiTheme="minorHAnsi" w:hAnsiTheme="minorHAnsi" w:cstheme="minorHAnsi"/>
                <w:b/>
                <w:i/>
                <w:iCs/>
              </w:rPr>
              <w:t>Training Package Products Policy</w:t>
            </w:r>
          </w:p>
        </w:tc>
      </w:tr>
      <w:tr w:rsidR="00F06470" w:rsidRPr="0024568B" w14:paraId="494BA964" w14:textId="77777777" w:rsidTr="00EB72A1">
        <w:trPr>
          <w:cantSplit/>
          <w:trHeight w:val="704"/>
        </w:trPr>
        <w:tc>
          <w:tcPr>
            <w:cnfStyle w:val="000010000000" w:firstRow="0" w:lastRow="0" w:firstColumn="0" w:lastColumn="0" w:oddVBand="1" w:evenVBand="0" w:oddHBand="0" w:evenHBand="0" w:firstRowFirstColumn="0" w:firstRowLastColumn="0" w:lastRowFirstColumn="0" w:lastRowLastColumn="0"/>
            <w:tcW w:w="4644" w:type="dxa"/>
            <w:tcBorders>
              <w:top w:val="single" w:sz="4" w:space="0" w:color="14578C" w:themeColor="accent2" w:themeShade="BF"/>
              <w:left w:val="single" w:sz="4" w:space="0" w:color="14578C" w:themeColor="accent2" w:themeShade="BF"/>
              <w:bottom w:val="single" w:sz="4" w:space="0" w:color="14578C" w:themeColor="accent2" w:themeShade="BF"/>
              <w:right w:val="single" w:sz="4" w:space="0" w:color="14578C" w:themeColor="accent2" w:themeShade="BF"/>
            </w:tcBorders>
          </w:tcPr>
          <w:p w14:paraId="44E195A3" w14:textId="7CB27AD4" w:rsidR="00F06470" w:rsidRPr="0024568B" w:rsidRDefault="00F06470" w:rsidP="00F06470">
            <w:pPr>
              <w:spacing w:before="0" w:after="0" w:line="240" w:lineRule="auto"/>
              <w:rPr>
                <w:rFonts w:asciiTheme="minorHAnsi" w:hAnsiTheme="minorHAnsi" w:cstheme="minorHAnsi"/>
              </w:rPr>
            </w:pPr>
            <w:r w:rsidRPr="00F30599">
              <w:rPr>
                <w:rFonts w:asciiTheme="minorHAnsi" w:hAnsiTheme="minorHAnsi" w:cstheme="minorHAnsi"/>
              </w:rPr>
              <w:t xml:space="preserve">Confirmation of the Training Packages or components thereof being compliant with the </w:t>
            </w:r>
            <w:r w:rsidRPr="004B121A">
              <w:rPr>
                <w:rFonts w:asciiTheme="minorHAnsi" w:hAnsiTheme="minorHAnsi" w:cstheme="minorHAnsi"/>
                <w:i/>
              </w:rPr>
              <w:t>Training Package Development and Endorsement Process Policy</w:t>
            </w:r>
          </w:p>
        </w:tc>
        <w:tc>
          <w:tcPr>
            <w:tcW w:w="4678" w:type="dxa"/>
            <w:tcBorders>
              <w:top w:val="single" w:sz="4" w:space="0" w:color="14578C" w:themeColor="accent2" w:themeShade="BF"/>
              <w:left w:val="single" w:sz="4" w:space="0" w:color="14578C" w:themeColor="accent2" w:themeShade="BF"/>
              <w:bottom w:val="single" w:sz="4" w:space="0" w:color="14578C" w:themeColor="accent2" w:themeShade="BF"/>
              <w:right w:val="single" w:sz="4" w:space="0" w:color="14578C" w:themeColor="accent2" w:themeShade="BF"/>
            </w:tcBorders>
          </w:tcPr>
          <w:p w14:paraId="1D365AF2" w14:textId="59005AFE" w:rsidR="00F06470" w:rsidRPr="0024568B" w:rsidRDefault="00926FC6" w:rsidP="00F06470">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Pr>
                <w:rFonts w:asciiTheme="minorHAnsi" w:hAnsiTheme="minorHAnsi" w:cstheme="minorHAnsi"/>
                <w:b/>
              </w:rPr>
              <w:t xml:space="preserve">Yes, I confirm that the Training Package components for endorsement are compliant with the </w:t>
            </w:r>
            <w:r>
              <w:rPr>
                <w:rFonts w:asciiTheme="minorHAnsi" w:hAnsiTheme="minorHAnsi" w:cstheme="minorHAnsi"/>
                <w:b/>
                <w:i/>
                <w:iCs/>
              </w:rPr>
              <w:t>Training Package Development and Endorsement Process Policy</w:t>
            </w:r>
          </w:p>
        </w:tc>
      </w:tr>
      <w:tr w:rsidR="00F06470" w:rsidRPr="0024568B" w14:paraId="444CFCA8" w14:textId="77777777" w:rsidTr="00EB72A1">
        <w:trPr>
          <w:cantSplit/>
          <w:trHeight w:val="704"/>
        </w:trPr>
        <w:tc>
          <w:tcPr>
            <w:cnfStyle w:val="000010000000" w:firstRow="0" w:lastRow="0" w:firstColumn="0" w:lastColumn="0" w:oddVBand="1" w:evenVBand="0" w:oddHBand="0" w:evenHBand="0" w:firstRowFirstColumn="0" w:firstRowLastColumn="0" w:lastRowFirstColumn="0" w:lastRowLastColumn="0"/>
            <w:tcW w:w="4644" w:type="dxa"/>
            <w:tcBorders>
              <w:top w:val="single" w:sz="4" w:space="0" w:color="14578C" w:themeColor="accent2" w:themeShade="BF"/>
              <w:left w:val="single" w:sz="4" w:space="0" w:color="14578C" w:themeColor="accent2" w:themeShade="BF"/>
              <w:bottom w:val="single" w:sz="4" w:space="0" w:color="14578C" w:themeColor="accent2" w:themeShade="BF"/>
              <w:right w:val="single" w:sz="4" w:space="0" w:color="14578C" w:themeColor="accent2" w:themeShade="BF"/>
            </w:tcBorders>
          </w:tcPr>
          <w:p w14:paraId="36C86636" w14:textId="77777777" w:rsidR="00F06470" w:rsidRDefault="00F06470" w:rsidP="00F06470">
            <w:pPr>
              <w:spacing w:before="0" w:after="0" w:line="240" w:lineRule="auto"/>
              <w:rPr>
                <w:rFonts w:asciiTheme="minorHAnsi" w:hAnsiTheme="minorHAnsi" w:cstheme="minorHAnsi"/>
              </w:rPr>
            </w:pPr>
            <w:r>
              <w:rPr>
                <w:rFonts w:asciiTheme="minorHAnsi" w:hAnsiTheme="minorHAnsi" w:cstheme="minorHAnsi"/>
              </w:rPr>
              <w:lastRenderedPageBreak/>
              <w:t>Panel member’s view about whether:</w:t>
            </w:r>
          </w:p>
          <w:p w14:paraId="5D1D1931" w14:textId="2B8D0EF1" w:rsidR="00F06470" w:rsidRPr="00B9172B" w:rsidRDefault="00F06470" w:rsidP="00F06470">
            <w:pPr>
              <w:pStyle w:val="ListParagraph"/>
              <w:numPr>
                <w:ilvl w:val="0"/>
                <w:numId w:val="15"/>
              </w:numPr>
              <w:spacing w:before="0" w:after="0" w:line="240" w:lineRule="auto"/>
              <w:ind w:left="314" w:hanging="314"/>
            </w:pPr>
            <w:r w:rsidRPr="00B9172B">
              <w:rPr>
                <w:rFonts w:asciiTheme="minorHAnsi" w:hAnsiTheme="minorHAnsi" w:cstheme="minorHAnsi"/>
              </w:rPr>
              <w:t xml:space="preserve">the evidence of </w:t>
            </w:r>
            <w:r w:rsidRPr="00B9172B">
              <w:t xml:space="preserve">consultation and validation </w:t>
            </w:r>
            <w:r>
              <w:t xml:space="preserve">process </w:t>
            </w:r>
            <w:r w:rsidRPr="00B9172B">
              <w:t>being fit for purpose and commensurate with the scope</w:t>
            </w:r>
          </w:p>
          <w:p w14:paraId="04AC8C40" w14:textId="2D1015B2" w:rsidR="00F06470" w:rsidRPr="00B9172B" w:rsidRDefault="00F06470" w:rsidP="00F06470">
            <w:pPr>
              <w:pStyle w:val="ListParagraph"/>
              <w:numPr>
                <w:ilvl w:val="0"/>
                <w:numId w:val="15"/>
              </w:numPr>
              <w:spacing w:before="0" w:after="0" w:line="240" w:lineRule="auto"/>
              <w:ind w:left="314" w:hanging="314"/>
            </w:pPr>
            <w:r w:rsidRPr="00B9172B">
              <w:t>estimated impact of the proposed changes is sufficient and convincing</w:t>
            </w:r>
          </w:p>
        </w:tc>
        <w:tc>
          <w:tcPr>
            <w:tcW w:w="4678" w:type="dxa"/>
            <w:tcBorders>
              <w:top w:val="single" w:sz="4" w:space="0" w:color="14578C" w:themeColor="accent2" w:themeShade="BF"/>
              <w:left w:val="single" w:sz="4" w:space="0" w:color="14578C" w:themeColor="accent2" w:themeShade="BF"/>
              <w:bottom w:val="single" w:sz="4" w:space="0" w:color="14578C" w:themeColor="accent2" w:themeShade="BF"/>
              <w:right w:val="single" w:sz="4" w:space="0" w:color="14578C" w:themeColor="accent2" w:themeShade="BF"/>
            </w:tcBorders>
          </w:tcPr>
          <w:p w14:paraId="2A0B022C" w14:textId="7AA24939" w:rsidR="001A6F9E" w:rsidRDefault="00B05CD9" w:rsidP="00F06470">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Pr>
                <w:rFonts w:asciiTheme="minorHAnsi" w:hAnsiTheme="minorHAnsi" w:cstheme="minorHAnsi"/>
                <w:b/>
              </w:rPr>
              <w:t xml:space="preserve">The </w:t>
            </w:r>
            <w:proofErr w:type="spellStart"/>
            <w:r>
              <w:rPr>
                <w:rFonts w:asciiTheme="minorHAnsi" w:hAnsiTheme="minorHAnsi" w:cstheme="minorHAnsi"/>
                <w:b/>
              </w:rPr>
              <w:t>CfE</w:t>
            </w:r>
            <w:proofErr w:type="spellEnd"/>
            <w:r>
              <w:rPr>
                <w:rFonts w:asciiTheme="minorHAnsi" w:hAnsiTheme="minorHAnsi" w:cstheme="minorHAnsi"/>
                <w:b/>
              </w:rPr>
              <w:t xml:space="preserve"> </w:t>
            </w:r>
            <w:r w:rsidR="00082AF1">
              <w:rPr>
                <w:rFonts w:asciiTheme="minorHAnsi" w:hAnsiTheme="minorHAnsi" w:cstheme="minorHAnsi"/>
                <w:b/>
              </w:rPr>
              <w:t>indicates</w:t>
            </w:r>
            <w:r>
              <w:rPr>
                <w:rFonts w:asciiTheme="minorHAnsi" w:hAnsiTheme="minorHAnsi" w:cstheme="minorHAnsi"/>
                <w:b/>
              </w:rPr>
              <w:t xml:space="preserve"> a small number of stakeholders involved in the revision</w:t>
            </w:r>
            <w:r w:rsidR="001A6F9E">
              <w:rPr>
                <w:rFonts w:asciiTheme="minorHAnsi" w:hAnsiTheme="minorHAnsi" w:cstheme="minorHAnsi"/>
                <w:b/>
              </w:rPr>
              <w:t xml:space="preserve">s (11) although it is acknowledged that these stakeholders represent </w:t>
            </w:r>
            <w:r w:rsidR="00926FC6">
              <w:rPr>
                <w:rFonts w:asciiTheme="minorHAnsi" w:hAnsiTheme="minorHAnsi" w:cstheme="minorHAnsi"/>
                <w:b/>
              </w:rPr>
              <w:t xml:space="preserve">racing </w:t>
            </w:r>
            <w:r w:rsidR="001A6F9E">
              <w:rPr>
                <w:rFonts w:asciiTheme="minorHAnsi" w:hAnsiTheme="minorHAnsi" w:cstheme="minorHAnsi"/>
                <w:b/>
              </w:rPr>
              <w:t xml:space="preserve">industry associations </w:t>
            </w:r>
            <w:r w:rsidR="00082AF1">
              <w:rPr>
                <w:rFonts w:asciiTheme="minorHAnsi" w:hAnsiTheme="minorHAnsi" w:cstheme="minorHAnsi"/>
                <w:b/>
              </w:rPr>
              <w:t xml:space="preserve">rather than individual interests </w:t>
            </w:r>
            <w:r w:rsidR="001A6F9E">
              <w:rPr>
                <w:rFonts w:asciiTheme="minorHAnsi" w:hAnsiTheme="minorHAnsi" w:cstheme="minorHAnsi"/>
                <w:b/>
              </w:rPr>
              <w:t xml:space="preserve">and is therefore taken at face value to be commensurate with the scope of the changes. </w:t>
            </w:r>
          </w:p>
          <w:p w14:paraId="6A8D2839" w14:textId="34C68FB5" w:rsidR="00F06470" w:rsidRPr="0024568B" w:rsidRDefault="001A6F9E" w:rsidP="00F06470">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Pr>
                <w:rFonts w:asciiTheme="minorHAnsi" w:hAnsiTheme="minorHAnsi" w:cstheme="minorHAnsi"/>
                <w:b/>
              </w:rPr>
              <w:t xml:space="preserve">The proposed changes may </w:t>
            </w:r>
            <w:r w:rsidR="0012473D">
              <w:rPr>
                <w:rFonts w:asciiTheme="minorHAnsi" w:hAnsiTheme="minorHAnsi" w:cstheme="minorHAnsi"/>
                <w:b/>
              </w:rPr>
              <w:t xml:space="preserve">initially </w:t>
            </w:r>
            <w:r>
              <w:rPr>
                <w:rFonts w:asciiTheme="minorHAnsi" w:hAnsiTheme="minorHAnsi" w:cstheme="minorHAnsi"/>
                <w:b/>
              </w:rPr>
              <w:t xml:space="preserve">appear to be minor in nature including </w:t>
            </w:r>
            <w:r w:rsidR="0012473D">
              <w:rPr>
                <w:rFonts w:asciiTheme="minorHAnsi" w:hAnsiTheme="minorHAnsi" w:cstheme="minorHAnsi"/>
                <w:b/>
              </w:rPr>
              <w:t>in</w:t>
            </w:r>
            <w:r>
              <w:rPr>
                <w:rFonts w:asciiTheme="minorHAnsi" w:hAnsiTheme="minorHAnsi" w:cstheme="minorHAnsi"/>
                <w:b/>
              </w:rPr>
              <w:t xml:space="preserve"> stakeholders’ perceptions (moving core to elective and </w:t>
            </w:r>
            <w:proofErr w:type="spellStart"/>
            <w:r>
              <w:rPr>
                <w:rFonts w:asciiTheme="minorHAnsi" w:hAnsiTheme="minorHAnsi" w:cstheme="minorHAnsi"/>
                <w:b/>
              </w:rPr>
              <w:t>visa</w:t>
            </w:r>
            <w:proofErr w:type="spellEnd"/>
            <w:r>
              <w:rPr>
                <w:rFonts w:asciiTheme="minorHAnsi" w:hAnsiTheme="minorHAnsi" w:cstheme="minorHAnsi"/>
                <w:b/>
              </w:rPr>
              <w:t xml:space="preserve"> versa without altering net number of units), however the removal of micro business finance units from core of the Certificate IV qualification in particular, potentially alters the occupational outcome of the qualification, according to the Training Package Products Policy requirements for determination of equivalency.</w:t>
            </w:r>
            <w:r w:rsidR="0012473D">
              <w:rPr>
                <w:rFonts w:asciiTheme="minorHAnsi" w:hAnsiTheme="minorHAnsi" w:cstheme="minorHAnsi"/>
                <w:b/>
              </w:rPr>
              <w:t xml:space="preserve"> </w:t>
            </w:r>
            <w:r w:rsidR="00926FC6">
              <w:rPr>
                <w:rFonts w:asciiTheme="minorHAnsi" w:hAnsiTheme="minorHAnsi" w:cstheme="minorHAnsi"/>
                <w:b/>
              </w:rPr>
              <w:t>QA discussion with the developer indicates awareness of the impact has been considered, with the developer investigating strategies with the RTO regulator to minimise</w:t>
            </w:r>
            <w:r w:rsidR="00082AF1">
              <w:rPr>
                <w:rFonts w:asciiTheme="minorHAnsi" w:hAnsiTheme="minorHAnsi" w:cstheme="minorHAnsi"/>
                <w:b/>
              </w:rPr>
              <w:t>,</w:t>
            </w:r>
            <w:r w:rsidR="00926FC6">
              <w:rPr>
                <w:rFonts w:asciiTheme="minorHAnsi" w:hAnsiTheme="minorHAnsi" w:cstheme="minorHAnsi"/>
                <w:b/>
              </w:rPr>
              <w:t xml:space="preserve"> </w:t>
            </w:r>
            <w:r w:rsidR="00AE30EA">
              <w:rPr>
                <w:rFonts w:asciiTheme="minorHAnsi" w:hAnsiTheme="minorHAnsi" w:cstheme="minorHAnsi"/>
                <w:b/>
              </w:rPr>
              <w:t>if possible</w:t>
            </w:r>
            <w:r w:rsidR="00082AF1">
              <w:rPr>
                <w:rFonts w:asciiTheme="minorHAnsi" w:hAnsiTheme="minorHAnsi" w:cstheme="minorHAnsi"/>
                <w:b/>
              </w:rPr>
              <w:t>,</w:t>
            </w:r>
            <w:r w:rsidR="00AE30EA">
              <w:rPr>
                <w:rFonts w:asciiTheme="minorHAnsi" w:hAnsiTheme="minorHAnsi" w:cstheme="minorHAnsi"/>
                <w:b/>
              </w:rPr>
              <w:t xml:space="preserve"> </w:t>
            </w:r>
            <w:r w:rsidR="00926FC6">
              <w:rPr>
                <w:rFonts w:asciiTheme="minorHAnsi" w:hAnsiTheme="minorHAnsi" w:cstheme="minorHAnsi"/>
                <w:b/>
              </w:rPr>
              <w:t xml:space="preserve">the impact of non-equivalent outcome necessitating fees and other requirements for addition to scope. </w:t>
            </w:r>
          </w:p>
        </w:tc>
      </w:tr>
      <w:tr w:rsidR="00F06470" w:rsidRPr="0024568B" w14:paraId="58B8FF37" w14:textId="77777777" w:rsidTr="00EB72A1">
        <w:trPr>
          <w:cantSplit/>
          <w:trHeight w:val="704"/>
        </w:trPr>
        <w:tc>
          <w:tcPr>
            <w:cnfStyle w:val="000010000000" w:firstRow="0" w:lastRow="0" w:firstColumn="0" w:lastColumn="0" w:oddVBand="1" w:evenVBand="0" w:oddHBand="0" w:evenHBand="0" w:firstRowFirstColumn="0" w:firstRowLastColumn="0" w:lastRowFirstColumn="0" w:lastRowLastColumn="0"/>
            <w:tcW w:w="4644" w:type="dxa"/>
            <w:tcBorders>
              <w:top w:val="single" w:sz="4" w:space="0" w:color="14578C" w:themeColor="accent2" w:themeShade="BF"/>
              <w:left w:val="single" w:sz="4" w:space="0" w:color="14578C" w:themeColor="accent2" w:themeShade="BF"/>
              <w:bottom w:val="single" w:sz="4" w:space="0" w:color="14578C" w:themeColor="accent2" w:themeShade="BF"/>
              <w:right w:val="single" w:sz="4" w:space="0" w:color="14578C" w:themeColor="accent2" w:themeShade="BF"/>
            </w:tcBorders>
          </w:tcPr>
          <w:p w14:paraId="0C7EA148" w14:textId="6CC64968" w:rsidR="00F06470" w:rsidRPr="0024568B" w:rsidRDefault="00F06470" w:rsidP="00F06470">
            <w:pPr>
              <w:spacing w:before="0" w:after="0" w:line="240" w:lineRule="auto"/>
              <w:rPr>
                <w:rFonts w:asciiTheme="minorHAnsi" w:hAnsiTheme="minorHAnsi" w:cstheme="minorHAnsi"/>
                <w:b/>
                <w:bCs/>
              </w:rPr>
            </w:pPr>
            <w:r w:rsidRPr="0024568B">
              <w:rPr>
                <w:rFonts w:asciiTheme="minorHAnsi" w:hAnsiTheme="minorHAnsi" w:cstheme="minorHAnsi"/>
              </w:rPr>
              <w:t>Name of panel member completing Quality Report</w:t>
            </w:r>
          </w:p>
        </w:tc>
        <w:tc>
          <w:tcPr>
            <w:tcW w:w="4678" w:type="dxa"/>
            <w:tcBorders>
              <w:top w:val="single" w:sz="4" w:space="0" w:color="14578C" w:themeColor="accent2" w:themeShade="BF"/>
              <w:left w:val="single" w:sz="4" w:space="0" w:color="14578C" w:themeColor="accent2" w:themeShade="BF"/>
              <w:bottom w:val="single" w:sz="4" w:space="0" w:color="14578C" w:themeColor="accent2" w:themeShade="BF"/>
              <w:right w:val="single" w:sz="4" w:space="0" w:color="14578C" w:themeColor="accent2" w:themeShade="BF"/>
            </w:tcBorders>
          </w:tcPr>
          <w:p w14:paraId="70FDEEA4" w14:textId="1F20682F" w:rsidR="00F06470" w:rsidRPr="0024568B" w:rsidRDefault="00F06470" w:rsidP="00F06470">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Pr>
                <w:rFonts w:asciiTheme="minorHAnsi" w:hAnsiTheme="minorHAnsi" w:cstheme="minorHAnsi"/>
                <w:b/>
              </w:rPr>
              <w:t>Maree Thorne</w:t>
            </w:r>
          </w:p>
        </w:tc>
      </w:tr>
      <w:tr w:rsidR="00F06470" w:rsidRPr="0024568B" w14:paraId="1CCB53B3" w14:textId="77777777" w:rsidTr="00EB72A1">
        <w:trPr>
          <w:cantSplit/>
          <w:trHeight w:val="147"/>
        </w:trPr>
        <w:tc>
          <w:tcPr>
            <w:cnfStyle w:val="000010000000" w:firstRow="0" w:lastRow="0" w:firstColumn="0" w:lastColumn="0" w:oddVBand="1" w:evenVBand="0" w:oddHBand="0" w:evenHBand="0" w:firstRowFirstColumn="0" w:firstRowLastColumn="0" w:lastRowFirstColumn="0" w:lastRowLastColumn="0"/>
            <w:tcW w:w="4644" w:type="dxa"/>
            <w:tcBorders>
              <w:top w:val="single" w:sz="4" w:space="0" w:color="14578C" w:themeColor="accent2" w:themeShade="BF"/>
              <w:left w:val="none" w:sz="0" w:space="0" w:color="auto"/>
              <w:bottom w:val="none" w:sz="0" w:space="0" w:color="auto"/>
              <w:right w:val="none" w:sz="0" w:space="0" w:color="auto"/>
            </w:tcBorders>
          </w:tcPr>
          <w:p w14:paraId="4C23C1B6" w14:textId="36372EF9" w:rsidR="00F06470" w:rsidRPr="0024568B" w:rsidRDefault="00F06470" w:rsidP="00F06470">
            <w:pPr>
              <w:spacing w:before="0" w:after="0" w:line="240" w:lineRule="auto"/>
              <w:rPr>
                <w:rFonts w:asciiTheme="minorHAnsi" w:hAnsiTheme="minorHAnsi" w:cstheme="minorHAnsi"/>
                <w:b/>
                <w:bCs/>
              </w:rPr>
            </w:pPr>
            <w:r>
              <w:rPr>
                <w:rFonts w:asciiTheme="minorHAnsi" w:hAnsiTheme="minorHAnsi" w:cstheme="minorHAnsi"/>
              </w:rPr>
              <w:t>Date of completion of the Quality Report</w:t>
            </w:r>
          </w:p>
        </w:tc>
        <w:tc>
          <w:tcPr>
            <w:tcW w:w="4678" w:type="dxa"/>
            <w:tcBorders>
              <w:top w:val="single" w:sz="4" w:space="0" w:color="14578C" w:themeColor="accent2" w:themeShade="BF"/>
            </w:tcBorders>
          </w:tcPr>
          <w:p w14:paraId="12CB5011" w14:textId="634591FD" w:rsidR="00F06470" w:rsidRPr="0024568B" w:rsidRDefault="00F06470" w:rsidP="00F06470">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Pr>
                <w:rFonts w:asciiTheme="minorHAnsi" w:hAnsiTheme="minorHAnsi" w:cstheme="minorHAnsi"/>
                <w:b/>
              </w:rPr>
              <w:t>2</w:t>
            </w:r>
            <w:r w:rsidR="00F50B93">
              <w:rPr>
                <w:rFonts w:asciiTheme="minorHAnsi" w:hAnsiTheme="minorHAnsi" w:cstheme="minorHAnsi"/>
                <w:b/>
              </w:rPr>
              <w:t>1</w:t>
            </w:r>
            <w:r>
              <w:rPr>
                <w:rFonts w:asciiTheme="minorHAnsi" w:hAnsiTheme="minorHAnsi" w:cstheme="minorHAnsi"/>
                <w:b/>
              </w:rPr>
              <w:t xml:space="preserve"> April 2021</w:t>
            </w:r>
          </w:p>
        </w:tc>
      </w:tr>
    </w:tbl>
    <w:p w14:paraId="3F56C45B" w14:textId="77777777" w:rsidR="007C19FB" w:rsidRDefault="007C19FB" w:rsidP="0076286B">
      <w:pPr>
        <w:rPr>
          <w:color w:val="1B75BC" w:themeColor="text2"/>
        </w:rPr>
      </w:pPr>
    </w:p>
    <w:p w14:paraId="7EB7B816" w14:textId="77777777" w:rsidR="007C19FB" w:rsidRDefault="007C19FB" w:rsidP="007C19FB">
      <w:r>
        <w:br w:type="page"/>
      </w:r>
    </w:p>
    <w:p w14:paraId="691E2CCF" w14:textId="77777777" w:rsidR="0050628A" w:rsidRPr="00CC1D77" w:rsidRDefault="002117CF" w:rsidP="004E6D50">
      <w:pPr>
        <w:pStyle w:val="Heading1"/>
        <w:rPr>
          <w:rFonts w:asciiTheme="minorHAnsi" w:hAnsiTheme="minorHAnsi" w:cstheme="minorHAnsi"/>
          <w:sz w:val="26"/>
          <w:szCs w:val="26"/>
        </w:rPr>
      </w:pPr>
      <w:r w:rsidRPr="00CC1D77">
        <w:rPr>
          <w:rFonts w:asciiTheme="minorHAnsi" w:hAnsiTheme="minorHAnsi" w:cstheme="minorHAnsi"/>
          <w:sz w:val="26"/>
          <w:szCs w:val="26"/>
        </w:rPr>
        <w:lastRenderedPageBreak/>
        <w:t>S</w:t>
      </w:r>
      <w:r w:rsidR="00002BD7" w:rsidRPr="00CC1D77">
        <w:rPr>
          <w:rFonts w:asciiTheme="minorHAnsi" w:hAnsiTheme="minorHAnsi" w:cstheme="minorHAnsi"/>
          <w:sz w:val="26"/>
          <w:szCs w:val="26"/>
        </w:rPr>
        <w:t>ection 2 – Compliance with the S</w:t>
      </w:r>
      <w:r w:rsidRPr="00CC1D77">
        <w:rPr>
          <w:rFonts w:asciiTheme="minorHAnsi" w:hAnsiTheme="minorHAnsi" w:cstheme="minorHAnsi"/>
          <w:sz w:val="26"/>
          <w:szCs w:val="26"/>
        </w:rPr>
        <w:t xml:space="preserve">tandards for </w:t>
      </w:r>
      <w:r w:rsidR="00002BD7" w:rsidRPr="00CC1D77">
        <w:rPr>
          <w:rFonts w:asciiTheme="minorHAnsi" w:hAnsiTheme="minorHAnsi" w:cstheme="minorHAnsi"/>
          <w:sz w:val="26"/>
          <w:szCs w:val="26"/>
        </w:rPr>
        <w:t>Training P</w:t>
      </w:r>
      <w:r w:rsidRPr="00CC1D77">
        <w:rPr>
          <w:rFonts w:asciiTheme="minorHAnsi" w:hAnsiTheme="minorHAnsi" w:cstheme="minorHAnsi"/>
          <w:sz w:val="26"/>
          <w:szCs w:val="26"/>
        </w:rPr>
        <w:t>ackages</w:t>
      </w:r>
      <w:r w:rsidR="00002BD7" w:rsidRPr="00CC1D77">
        <w:rPr>
          <w:rFonts w:asciiTheme="minorHAnsi" w:hAnsiTheme="minorHAnsi" w:cstheme="minorHAnsi"/>
          <w:sz w:val="26"/>
          <w:szCs w:val="26"/>
        </w:rPr>
        <w:t xml:space="preserve"> 2012</w:t>
      </w:r>
    </w:p>
    <w:tbl>
      <w:tblPr>
        <w:tblStyle w:val="TableGrid"/>
        <w:tblW w:w="5231" w:type="pct"/>
        <w:tblBorders>
          <w:top w:val="single" w:sz="4" w:space="0" w:color="1B75BC" w:themeColor="text2"/>
          <w:left w:val="single" w:sz="4" w:space="0" w:color="1B75BC" w:themeColor="text2"/>
          <w:bottom w:val="single" w:sz="4" w:space="0" w:color="1B75BC" w:themeColor="text2"/>
          <w:right w:val="single" w:sz="4" w:space="0" w:color="1B75BC" w:themeColor="text2"/>
          <w:insideH w:val="single" w:sz="4" w:space="0" w:color="1B75BC" w:themeColor="text2"/>
          <w:insideV w:val="single" w:sz="4" w:space="0" w:color="1B75BC" w:themeColor="text2"/>
        </w:tblBorders>
        <w:tblLook w:val="0600" w:firstRow="0" w:lastRow="0" w:firstColumn="0" w:lastColumn="0" w:noHBand="1" w:noVBand="1"/>
      </w:tblPr>
      <w:tblGrid>
        <w:gridCol w:w="3642"/>
        <w:gridCol w:w="1360"/>
        <w:gridCol w:w="4774"/>
      </w:tblGrid>
      <w:tr w:rsidR="00827294" w:rsidRPr="0024568B" w14:paraId="3005EC46" w14:textId="77777777" w:rsidTr="00F27D1C">
        <w:trPr>
          <w:cantSplit/>
          <w:trHeight w:val="711"/>
          <w:tblHeader/>
        </w:trPr>
        <w:tc>
          <w:tcPr>
            <w:tcW w:w="1885" w:type="pct"/>
            <w:shd w:val="clear" w:color="auto" w:fill="1B75BC" w:themeFill="text2"/>
          </w:tcPr>
          <w:p w14:paraId="587D79A3" w14:textId="77777777" w:rsidR="00201957" w:rsidRPr="00201957" w:rsidRDefault="00201957" w:rsidP="00201957">
            <w:pPr>
              <w:spacing w:before="0" w:after="0" w:line="240" w:lineRule="auto"/>
              <w:rPr>
                <w:rFonts w:asciiTheme="minorHAnsi" w:hAnsiTheme="minorHAnsi" w:cstheme="minorHAnsi"/>
                <w:color w:val="FFFFFF" w:themeColor="background1"/>
                <w:sz w:val="16"/>
                <w:szCs w:val="16"/>
              </w:rPr>
            </w:pPr>
          </w:p>
          <w:p w14:paraId="45A9F51D" w14:textId="0BABCA53" w:rsidR="00827294" w:rsidRPr="0024568B" w:rsidRDefault="00827294" w:rsidP="00201957">
            <w:pPr>
              <w:spacing w:before="0" w:after="0" w:line="240" w:lineRule="auto"/>
              <w:rPr>
                <w:rFonts w:asciiTheme="minorHAnsi" w:hAnsiTheme="minorHAnsi" w:cstheme="minorHAnsi"/>
                <w:color w:val="FFFFFF" w:themeColor="background1"/>
              </w:rPr>
            </w:pPr>
            <w:r w:rsidRPr="0024568B">
              <w:rPr>
                <w:rFonts w:asciiTheme="minorHAnsi" w:hAnsiTheme="minorHAnsi" w:cstheme="minorHAnsi"/>
                <w:color w:val="FFFFFF" w:themeColor="background1"/>
              </w:rPr>
              <w:t>Standards for Training Packages</w:t>
            </w:r>
          </w:p>
        </w:tc>
        <w:tc>
          <w:tcPr>
            <w:tcW w:w="651" w:type="pct"/>
            <w:shd w:val="clear" w:color="auto" w:fill="1B75BC" w:themeFill="text2"/>
          </w:tcPr>
          <w:p w14:paraId="44D7EC17" w14:textId="77777777" w:rsidR="00201957" w:rsidRPr="00201957" w:rsidRDefault="00201957" w:rsidP="00201957">
            <w:pPr>
              <w:spacing w:before="0" w:after="0" w:line="240" w:lineRule="auto"/>
              <w:rPr>
                <w:rFonts w:asciiTheme="minorHAnsi" w:hAnsiTheme="minorHAnsi" w:cstheme="minorHAnsi"/>
                <w:color w:val="FFFFFF" w:themeColor="background1"/>
                <w:sz w:val="16"/>
                <w:szCs w:val="16"/>
              </w:rPr>
            </w:pPr>
          </w:p>
          <w:p w14:paraId="20329749" w14:textId="19CC11EA" w:rsidR="00827294" w:rsidRDefault="00827294" w:rsidP="00201957">
            <w:pPr>
              <w:spacing w:before="0" w:after="0" w:line="240" w:lineRule="auto"/>
              <w:rPr>
                <w:rFonts w:asciiTheme="minorHAnsi" w:hAnsiTheme="minorHAnsi" w:cstheme="minorHAnsi"/>
                <w:color w:val="FFFFFF" w:themeColor="background1"/>
              </w:rPr>
            </w:pPr>
            <w:r>
              <w:rPr>
                <w:rFonts w:asciiTheme="minorHAnsi" w:hAnsiTheme="minorHAnsi" w:cstheme="minorHAnsi"/>
                <w:color w:val="FFFFFF" w:themeColor="background1"/>
              </w:rPr>
              <w:t>Standard met</w:t>
            </w:r>
          </w:p>
          <w:p w14:paraId="242D334D" w14:textId="08E7117D" w:rsidR="00827294" w:rsidRPr="0024568B" w:rsidRDefault="00827294" w:rsidP="00201957">
            <w:pPr>
              <w:spacing w:before="0" w:after="0" w:line="240" w:lineRule="auto"/>
              <w:rPr>
                <w:rFonts w:asciiTheme="minorHAnsi" w:hAnsiTheme="minorHAnsi" w:cstheme="minorHAnsi"/>
                <w:color w:val="FFFFFF" w:themeColor="background1"/>
              </w:rPr>
            </w:pPr>
            <w:r>
              <w:rPr>
                <w:rFonts w:asciiTheme="minorHAnsi" w:hAnsiTheme="minorHAnsi" w:cstheme="minorHAnsi"/>
                <w:color w:val="FFFFFF" w:themeColor="background1"/>
              </w:rPr>
              <w:t>‘yes’ or ‘no’</w:t>
            </w:r>
          </w:p>
        </w:tc>
        <w:tc>
          <w:tcPr>
            <w:tcW w:w="2465" w:type="pct"/>
            <w:shd w:val="clear" w:color="auto" w:fill="1B75BC" w:themeFill="text2"/>
          </w:tcPr>
          <w:p w14:paraId="024F9DCB" w14:textId="77777777" w:rsidR="00201957" w:rsidRPr="00201957" w:rsidRDefault="00201957" w:rsidP="00201957">
            <w:pPr>
              <w:spacing w:before="0" w:after="0" w:line="240" w:lineRule="auto"/>
              <w:rPr>
                <w:rFonts w:asciiTheme="minorHAnsi" w:hAnsiTheme="minorHAnsi" w:cstheme="minorHAnsi"/>
                <w:color w:val="FFFFFF" w:themeColor="background1"/>
                <w:sz w:val="16"/>
                <w:szCs w:val="16"/>
              </w:rPr>
            </w:pPr>
          </w:p>
          <w:p w14:paraId="7515DBAC" w14:textId="399E2073" w:rsidR="00827294" w:rsidRPr="0024568B" w:rsidRDefault="00827294" w:rsidP="00201957">
            <w:pPr>
              <w:spacing w:before="0" w:after="0" w:line="240" w:lineRule="auto"/>
              <w:rPr>
                <w:rFonts w:asciiTheme="minorHAnsi" w:hAnsiTheme="minorHAnsi" w:cstheme="minorHAnsi"/>
                <w:color w:val="FFFFFF" w:themeColor="background1"/>
              </w:rPr>
            </w:pPr>
            <w:r w:rsidRPr="0024568B">
              <w:rPr>
                <w:rFonts w:asciiTheme="minorHAnsi" w:hAnsiTheme="minorHAnsi" w:cstheme="minorHAnsi"/>
                <w:color w:val="FFFFFF" w:themeColor="background1"/>
              </w:rPr>
              <w:t>Evidence supporting the statement of compliance or no</w:t>
            </w:r>
            <w:r>
              <w:rPr>
                <w:rFonts w:asciiTheme="minorHAnsi" w:hAnsiTheme="minorHAnsi" w:cstheme="minorHAnsi"/>
                <w:color w:val="FFFFFF" w:themeColor="background1"/>
              </w:rPr>
              <w:t>n</w:t>
            </w:r>
            <w:r w:rsidRPr="0024568B">
              <w:rPr>
                <w:rFonts w:asciiTheme="minorHAnsi" w:hAnsiTheme="minorHAnsi" w:cstheme="minorHAnsi"/>
                <w:color w:val="FFFFFF" w:themeColor="background1"/>
              </w:rPr>
              <w:t xml:space="preserve">compliance </w:t>
            </w:r>
            <w:r>
              <w:rPr>
                <w:rFonts w:asciiTheme="minorHAnsi" w:hAnsiTheme="minorHAnsi" w:cstheme="minorHAnsi"/>
                <w:color w:val="FFFFFF" w:themeColor="background1"/>
              </w:rPr>
              <w:t>(including evidence from equity and editorial reports)</w:t>
            </w:r>
          </w:p>
        </w:tc>
      </w:tr>
      <w:tr w:rsidR="00827294" w:rsidRPr="0024568B" w14:paraId="3D66C18B" w14:textId="77777777" w:rsidTr="00F27D1C">
        <w:trPr>
          <w:cantSplit/>
          <w:trHeight w:val="97"/>
        </w:trPr>
        <w:tc>
          <w:tcPr>
            <w:tcW w:w="1885" w:type="pct"/>
          </w:tcPr>
          <w:p w14:paraId="6E4608B4" w14:textId="77777777" w:rsidR="00827294" w:rsidRPr="0024568B" w:rsidRDefault="00827294" w:rsidP="004859B9">
            <w:pPr>
              <w:tabs>
                <w:tab w:val="left" w:pos="1135"/>
              </w:tabs>
              <w:spacing w:before="0" w:after="0" w:line="240" w:lineRule="auto"/>
              <w:ind w:left="1135" w:hanging="1135"/>
              <w:jc w:val="both"/>
              <w:rPr>
                <w:rFonts w:asciiTheme="minorHAnsi" w:hAnsiTheme="minorHAnsi" w:cstheme="minorHAnsi"/>
                <w:iCs/>
                <w:lang w:val="en-US"/>
              </w:rPr>
            </w:pPr>
            <w:r w:rsidRPr="0024568B">
              <w:rPr>
                <w:rFonts w:asciiTheme="minorHAnsi" w:hAnsiTheme="minorHAnsi" w:cstheme="minorHAnsi"/>
                <w:iCs/>
                <w:lang w:val="en-US"/>
              </w:rPr>
              <w:t>Standard 1</w:t>
            </w:r>
          </w:p>
          <w:p w14:paraId="0FC8C1FA" w14:textId="77777777" w:rsidR="00827294" w:rsidRPr="00163537" w:rsidRDefault="00827294" w:rsidP="004859B9">
            <w:pPr>
              <w:tabs>
                <w:tab w:val="left" w:pos="1135"/>
              </w:tabs>
              <w:spacing w:before="0" w:after="0" w:line="240" w:lineRule="auto"/>
              <w:ind w:left="1135" w:hanging="1135"/>
              <w:jc w:val="both"/>
              <w:rPr>
                <w:rFonts w:asciiTheme="minorHAnsi" w:hAnsiTheme="minorHAnsi" w:cstheme="minorHAnsi"/>
                <w:iCs/>
                <w:sz w:val="16"/>
                <w:szCs w:val="16"/>
                <w:lang w:val="en-US"/>
              </w:rPr>
            </w:pPr>
          </w:p>
          <w:p w14:paraId="23C64C8B" w14:textId="77777777" w:rsidR="00827294" w:rsidRPr="0024568B" w:rsidRDefault="00827294" w:rsidP="00791817">
            <w:pPr>
              <w:tabs>
                <w:tab w:val="left" w:pos="0"/>
              </w:tabs>
              <w:spacing w:before="0" w:after="0" w:line="240" w:lineRule="auto"/>
              <w:rPr>
                <w:rFonts w:asciiTheme="minorHAnsi" w:hAnsiTheme="minorHAnsi" w:cstheme="minorHAnsi"/>
                <w:b/>
              </w:rPr>
            </w:pPr>
            <w:r w:rsidRPr="0024568B">
              <w:rPr>
                <w:rFonts w:asciiTheme="minorHAnsi" w:hAnsiTheme="minorHAnsi" w:cstheme="minorHAnsi"/>
              </w:rPr>
              <w:t>Training Packages consist of the following:</w:t>
            </w:r>
          </w:p>
          <w:p w14:paraId="0973373B" w14:textId="77777777" w:rsidR="00827294" w:rsidRPr="0024568B" w:rsidRDefault="00827294" w:rsidP="00791817">
            <w:pPr>
              <w:pStyle w:val="ListParagraph"/>
              <w:numPr>
                <w:ilvl w:val="0"/>
                <w:numId w:val="6"/>
              </w:numPr>
              <w:tabs>
                <w:tab w:val="left" w:pos="426"/>
              </w:tabs>
              <w:spacing w:before="0" w:after="0" w:line="240" w:lineRule="auto"/>
              <w:ind w:hanging="1494"/>
              <w:rPr>
                <w:rFonts w:asciiTheme="minorHAnsi" w:hAnsiTheme="minorHAnsi" w:cstheme="minorHAnsi"/>
                <w:b/>
              </w:rPr>
            </w:pPr>
            <w:r w:rsidRPr="0024568B">
              <w:rPr>
                <w:rFonts w:asciiTheme="minorHAnsi" w:hAnsiTheme="minorHAnsi" w:cstheme="minorHAnsi"/>
              </w:rPr>
              <w:t>AISC endorsed components:</w:t>
            </w:r>
          </w:p>
          <w:p w14:paraId="494767C9" w14:textId="56B7F270" w:rsidR="00FA0623" w:rsidRPr="00FA0623" w:rsidRDefault="00FA0623" w:rsidP="00827294">
            <w:pPr>
              <w:pStyle w:val="ListParagraph"/>
              <w:numPr>
                <w:ilvl w:val="0"/>
                <w:numId w:val="13"/>
              </w:numPr>
              <w:tabs>
                <w:tab w:val="left" w:pos="709"/>
              </w:tabs>
              <w:spacing w:before="0" w:after="0" w:line="240" w:lineRule="auto"/>
              <w:rPr>
                <w:rFonts w:asciiTheme="minorHAnsi" w:hAnsiTheme="minorHAnsi" w:cstheme="minorHAnsi"/>
                <w:b/>
              </w:rPr>
            </w:pPr>
            <w:r w:rsidRPr="0024568B">
              <w:rPr>
                <w:rFonts w:asciiTheme="minorHAnsi" w:hAnsiTheme="minorHAnsi" w:cstheme="minorHAnsi"/>
              </w:rPr>
              <w:t>qualifications</w:t>
            </w:r>
          </w:p>
          <w:p w14:paraId="2B41EE48" w14:textId="066E1C7C" w:rsidR="00827294" w:rsidRPr="00827294" w:rsidRDefault="00827294" w:rsidP="00827294">
            <w:pPr>
              <w:pStyle w:val="ListParagraph"/>
              <w:numPr>
                <w:ilvl w:val="0"/>
                <w:numId w:val="13"/>
              </w:numPr>
              <w:tabs>
                <w:tab w:val="left" w:pos="709"/>
              </w:tabs>
              <w:spacing w:before="0" w:after="0" w:line="240" w:lineRule="auto"/>
              <w:rPr>
                <w:rFonts w:asciiTheme="minorHAnsi" w:hAnsiTheme="minorHAnsi" w:cstheme="minorHAnsi"/>
                <w:b/>
              </w:rPr>
            </w:pPr>
            <w:r w:rsidRPr="0024568B">
              <w:rPr>
                <w:rFonts w:asciiTheme="minorHAnsi" w:hAnsiTheme="minorHAnsi" w:cstheme="minorHAnsi"/>
              </w:rPr>
              <w:t>units of competency</w:t>
            </w:r>
          </w:p>
          <w:p w14:paraId="25E611D1" w14:textId="7F2D00DA" w:rsidR="00827294" w:rsidRPr="00FA0623" w:rsidRDefault="00827294" w:rsidP="00FA0623">
            <w:pPr>
              <w:pStyle w:val="ListParagraph"/>
              <w:numPr>
                <w:ilvl w:val="0"/>
                <w:numId w:val="13"/>
              </w:numPr>
              <w:tabs>
                <w:tab w:val="left" w:pos="709"/>
              </w:tabs>
              <w:spacing w:before="0" w:after="0" w:line="240" w:lineRule="auto"/>
              <w:rPr>
                <w:rFonts w:asciiTheme="minorHAnsi" w:hAnsiTheme="minorHAnsi" w:cstheme="minorHAnsi"/>
                <w:b/>
              </w:rPr>
            </w:pPr>
            <w:r w:rsidRPr="0024568B">
              <w:rPr>
                <w:rFonts w:asciiTheme="minorHAnsi" w:hAnsiTheme="minorHAnsi" w:cstheme="minorHAnsi"/>
              </w:rPr>
              <w:t>assessment requirements (associated with each unit of competency)</w:t>
            </w:r>
          </w:p>
          <w:p w14:paraId="0646497C" w14:textId="77777777" w:rsidR="00827294" w:rsidRPr="0024568B" w:rsidRDefault="00827294" w:rsidP="00827294">
            <w:pPr>
              <w:pStyle w:val="ListParagraph"/>
              <w:numPr>
                <w:ilvl w:val="0"/>
                <w:numId w:val="13"/>
              </w:numPr>
              <w:tabs>
                <w:tab w:val="left" w:pos="709"/>
              </w:tabs>
              <w:spacing w:before="0" w:after="0" w:line="240" w:lineRule="auto"/>
              <w:rPr>
                <w:rFonts w:asciiTheme="minorHAnsi" w:hAnsiTheme="minorHAnsi" w:cstheme="minorHAnsi"/>
                <w:b/>
              </w:rPr>
            </w:pPr>
            <w:r w:rsidRPr="0024568B">
              <w:rPr>
                <w:rFonts w:asciiTheme="minorHAnsi" w:hAnsiTheme="minorHAnsi" w:cstheme="minorHAnsi"/>
              </w:rPr>
              <w:t>credit arrangements</w:t>
            </w:r>
          </w:p>
          <w:p w14:paraId="517DC342" w14:textId="77777777" w:rsidR="00827294" w:rsidRPr="0024568B" w:rsidRDefault="00827294" w:rsidP="00791817">
            <w:pPr>
              <w:pStyle w:val="ListParagraph"/>
              <w:numPr>
                <w:ilvl w:val="0"/>
                <w:numId w:val="6"/>
              </w:numPr>
              <w:tabs>
                <w:tab w:val="left" w:pos="426"/>
              </w:tabs>
              <w:spacing w:before="0" w:after="0" w:line="240" w:lineRule="auto"/>
              <w:ind w:left="426" w:hanging="426"/>
              <w:rPr>
                <w:rFonts w:asciiTheme="minorHAnsi" w:hAnsiTheme="minorHAnsi" w:cstheme="minorHAnsi"/>
                <w:b/>
                <w:bCs/>
                <w:iCs/>
                <w:lang w:val="en-US"/>
              </w:rPr>
            </w:pPr>
            <w:r w:rsidRPr="0024568B">
              <w:rPr>
                <w:rFonts w:asciiTheme="minorHAnsi" w:hAnsiTheme="minorHAnsi" w:cstheme="minorHAnsi"/>
              </w:rPr>
              <w:t xml:space="preserve">One or more </w:t>
            </w:r>
            <w:r w:rsidRPr="00F06470">
              <w:rPr>
                <w:rFonts w:asciiTheme="minorHAnsi" w:hAnsiTheme="minorHAnsi" w:cstheme="minorHAnsi"/>
              </w:rPr>
              <w:t>quality assured</w:t>
            </w:r>
            <w:r>
              <w:rPr>
                <w:rFonts w:asciiTheme="minorHAnsi" w:hAnsiTheme="minorHAnsi" w:cstheme="minorHAnsi"/>
              </w:rPr>
              <w:t xml:space="preserve"> companion volumes</w:t>
            </w:r>
            <w:r w:rsidRPr="0024568B">
              <w:rPr>
                <w:rFonts w:asciiTheme="minorHAnsi" w:hAnsiTheme="minorHAnsi" w:cstheme="minorHAnsi"/>
              </w:rPr>
              <w:t xml:space="preserve"> </w:t>
            </w:r>
          </w:p>
        </w:tc>
        <w:tc>
          <w:tcPr>
            <w:tcW w:w="651" w:type="pct"/>
          </w:tcPr>
          <w:p w14:paraId="60B89111" w14:textId="0E1C7FAF" w:rsidR="00827294" w:rsidRPr="0024568B" w:rsidRDefault="00340A02" w:rsidP="00791817">
            <w:pPr>
              <w:spacing w:before="0" w:after="0" w:line="240" w:lineRule="auto"/>
              <w:ind w:right="-613"/>
              <w:rPr>
                <w:rFonts w:asciiTheme="minorHAnsi" w:hAnsiTheme="minorHAnsi" w:cstheme="minorHAnsi"/>
                <w:b/>
                <w:bCs/>
                <w:i/>
                <w:iCs/>
                <w:lang w:val="en-US"/>
              </w:rPr>
            </w:pPr>
            <w:r>
              <w:rPr>
                <w:rFonts w:asciiTheme="minorHAnsi" w:hAnsiTheme="minorHAnsi" w:cstheme="minorHAnsi"/>
                <w:b/>
                <w:bCs/>
                <w:i/>
                <w:iCs/>
                <w:lang w:val="en-US"/>
              </w:rPr>
              <w:t>Yes</w:t>
            </w:r>
          </w:p>
        </w:tc>
        <w:tc>
          <w:tcPr>
            <w:tcW w:w="2465" w:type="pct"/>
          </w:tcPr>
          <w:p w14:paraId="0579FF63" w14:textId="7CD74C7E" w:rsidR="00505498" w:rsidRPr="00505498" w:rsidRDefault="00505498" w:rsidP="00505498">
            <w:pPr>
              <w:pStyle w:val="Table"/>
            </w:pPr>
            <w:r w:rsidRPr="00505498">
              <w:t xml:space="preserve">The proposed components for endorsement in the </w:t>
            </w:r>
            <w:r>
              <w:t>RGR Racing and Breeding</w:t>
            </w:r>
            <w:r w:rsidRPr="00505498">
              <w:t xml:space="preserve"> Training Package Version 4.0 meet the requirements of Standard 1.</w:t>
            </w:r>
          </w:p>
          <w:p w14:paraId="13A5F457" w14:textId="77777777" w:rsidR="00505498" w:rsidRDefault="00505498" w:rsidP="00505498">
            <w:pPr>
              <w:pStyle w:val="Table"/>
            </w:pPr>
          </w:p>
          <w:p w14:paraId="77FDC0AF" w14:textId="609B6906" w:rsidR="00505498" w:rsidRPr="00505498" w:rsidRDefault="00505498" w:rsidP="00505498">
            <w:pPr>
              <w:pStyle w:val="Table"/>
            </w:pPr>
            <w:r w:rsidRPr="00505498">
              <w:t>The Training Package components in the Case for Endorsement (</w:t>
            </w:r>
            <w:proofErr w:type="spellStart"/>
            <w:r w:rsidRPr="00505498">
              <w:t>CfE</w:t>
            </w:r>
            <w:proofErr w:type="spellEnd"/>
            <w:r w:rsidRPr="00505498">
              <w:t>) include</w:t>
            </w:r>
            <w:r>
              <w:t>s</w:t>
            </w:r>
            <w:r w:rsidRPr="00505498">
              <w:t>:</w:t>
            </w:r>
          </w:p>
          <w:p w14:paraId="0F4A07D2" w14:textId="1C10C1F7" w:rsidR="00505498" w:rsidRDefault="00505498" w:rsidP="00505498">
            <w:pPr>
              <w:pStyle w:val="Tablebullet"/>
            </w:pPr>
            <w:r>
              <w:t>two</w:t>
            </w:r>
            <w:r w:rsidRPr="00505498">
              <w:t xml:space="preserve"> revised qualifications </w:t>
            </w:r>
          </w:p>
          <w:p w14:paraId="49EDDB06" w14:textId="44F85B28" w:rsidR="007A42FD" w:rsidRDefault="007A42FD" w:rsidP="007A42FD">
            <w:pPr>
              <w:pStyle w:val="Tablebullet"/>
              <w:numPr>
                <w:ilvl w:val="0"/>
                <w:numId w:val="0"/>
              </w:numPr>
            </w:pPr>
          </w:p>
          <w:p w14:paraId="06CDEF8B" w14:textId="42BAD11F" w:rsidR="007A42FD" w:rsidRDefault="007A42FD" w:rsidP="007A42FD">
            <w:pPr>
              <w:pStyle w:val="Tablebullet"/>
              <w:numPr>
                <w:ilvl w:val="0"/>
                <w:numId w:val="0"/>
              </w:numPr>
            </w:pPr>
            <w:r>
              <w:t>No units of competency were reviewed or are proposed for endorsement in this project.</w:t>
            </w:r>
          </w:p>
          <w:p w14:paraId="745EF210" w14:textId="62E803AB" w:rsidR="00505498" w:rsidRDefault="00505498" w:rsidP="00505498">
            <w:pPr>
              <w:pStyle w:val="Table"/>
            </w:pPr>
            <w:r w:rsidRPr="00505498">
              <w:t xml:space="preserve">The </w:t>
            </w:r>
            <w:proofErr w:type="spellStart"/>
            <w:r w:rsidRPr="00505498">
              <w:t>CfE</w:t>
            </w:r>
            <w:proofErr w:type="spellEnd"/>
            <w:r w:rsidRPr="00505498">
              <w:t xml:space="preserve"> specifies that no credit arrangements exist for the qualifications for endorsement at the time of development.</w:t>
            </w:r>
          </w:p>
          <w:p w14:paraId="79E1A20A" w14:textId="77777777" w:rsidR="00317B10" w:rsidRPr="00505498" w:rsidRDefault="00317B10" w:rsidP="00505498">
            <w:pPr>
              <w:pStyle w:val="Table"/>
            </w:pPr>
          </w:p>
          <w:p w14:paraId="797947C5" w14:textId="1ABA5B6E" w:rsidR="00505498" w:rsidRPr="00505498" w:rsidRDefault="00505498" w:rsidP="00505498">
            <w:pPr>
              <w:pStyle w:val="Table"/>
            </w:pPr>
            <w:r w:rsidRPr="00505498">
              <w:t xml:space="preserve">The </w:t>
            </w:r>
            <w:bookmarkStart w:id="0" w:name="_Toc495914426"/>
            <w:r>
              <w:t>RGR Racing and Breeding</w:t>
            </w:r>
            <w:r w:rsidRPr="00505498">
              <w:t xml:space="preserve"> Training Package Version 4.0 Companion Volume Implementation Guide</w:t>
            </w:r>
            <w:bookmarkEnd w:id="0"/>
            <w:r w:rsidRPr="00505498">
              <w:t>s (CVIG) provide</w:t>
            </w:r>
            <w:r>
              <w:t>s</w:t>
            </w:r>
            <w:r w:rsidRPr="00505498">
              <w:t xml:space="preserve"> implementation advice, have been updated to include the revised qualifications and ha</w:t>
            </w:r>
            <w:r>
              <w:t>s</w:t>
            </w:r>
            <w:r w:rsidRPr="00505498">
              <w:t xml:space="preserve"> been quality assured in this process.</w:t>
            </w:r>
          </w:p>
          <w:p w14:paraId="23A22E11" w14:textId="77777777" w:rsidR="00827294" w:rsidRPr="0024568B" w:rsidRDefault="00827294" w:rsidP="00791817">
            <w:pPr>
              <w:spacing w:before="0" w:after="0" w:line="240" w:lineRule="auto"/>
              <w:ind w:right="-613"/>
              <w:rPr>
                <w:rFonts w:asciiTheme="minorHAnsi" w:hAnsiTheme="minorHAnsi" w:cstheme="minorHAnsi"/>
                <w:b/>
                <w:bCs/>
                <w:i/>
                <w:iCs/>
                <w:lang w:val="en-US"/>
              </w:rPr>
            </w:pPr>
          </w:p>
        </w:tc>
      </w:tr>
      <w:tr w:rsidR="00827294" w:rsidRPr="0024568B" w14:paraId="58AE351F" w14:textId="77777777" w:rsidTr="00F27D1C">
        <w:trPr>
          <w:cantSplit/>
          <w:trHeight w:val="97"/>
        </w:trPr>
        <w:tc>
          <w:tcPr>
            <w:tcW w:w="1885" w:type="pct"/>
          </w:tcPr>
          <w:p w14:paraId="2A1BD3E1" w14:textId="77777777" w:rsidR="00827294" w:rsidRPr="0024568B" w:rsidRDefault="00827294" w:rsidP="00791817">
            <w:pPr>
              <w:tabs>
                <w:tab w:val="left" w:pos="1135"/>
              </w:tabs>
              <w:spacing w:before="0" w:after="0" w:line="240" w:lineRule="auto"/>
              <w:ind w:left="1135" w:hanging="1135"/>
              <w:rPr>
                <w:rFonts w:asciiTheme="minorHAnsi" w:hAnsiTheme="minorHAnsi" w:cstheme="minorHAnsi"/>
              </w:rPr>
            </w:pPr>
            <w:r w:rsidRPr="0024568B">
              <w:rPr>
                <w:rFonts w:asciiTheme="minorHAnsi" w:hAnsiTheme="minorHAnsi" w:cstheme="minorHAnsi"/>
              </w:rPr>
              <w:lastRenderedPageBreak/>
              <w:t xml:space="preserve">Standard 2 </w:t>
            </w:r>
            <w:r w:rsidRPr="0024568B">
              <w:rPr>
                <w:rFonts w:asciiTheme="minorHAnsi" w:hAnsiTheme="minorHAnsi" w:cstheme="minorHAnsi"/>
              </w:rPr>
              <w:tab/>
            </w:r>
          </w:p>
          <w:p w14:paraId="089C252D" w14:textId="77777777" w:rsidR="00827294" w:rsidRPr="00163537" w:rsidRDefault="00827294" w:rsidP="00791817">
            <w:pPr>
              <w:tabs>
                <w:tab w:val="left" w:pos="1135"/>
              </w:tabs>
              <w:spacing w:before="0" w:after="0" w:line="240" w:lineRule="auto"/>
              <w:ind w:left="1135" w:hanging="1135"/>
              <w:rPr>
                <w:rFonts w:asciiTheme="minorHAnsi" w:hAnsiTheme="minorHAnsi" w:cstheme="minorHAnsi"/>
                <w:sz w:val="16"/>
                <w:szCs w:val="16"/>
              </w:rPr>
            </w:pPr>
          </w:p>
          <w:p w14:paraId="694AD8EE" w14:textId="527BB96D" w:rsidR="00827294" w:rsidRPr="0024568B" w:rsidRDefault="00827294" w:rsidP="007C7731">
            <w:pPr>
              <w:tabs>
                <w:tab w:val="left" w:pos="0"/>
              </w:tabs>
              <w:spacing w:before="0" w:after="0" w:line="240" w:lineRule="auto"/>
              <w:rPr>
                <w:rFonts w:asciiTheme="minorHAnsi" w:hAnsiTheme="minorHAnsi" w:cstheme="minorHAnsi"/>
                <w:b/>
                <w:bCs/>
                <w:iCs/>
                <w:lang w:val="en-US"/>
              </w:rPr>
            </w:pPr>
            <w:r w:rsidRPr="0024568B">
              <w:rPr>
                <w:rFonts w:asciiTheme="minorHAnsi" w:hAnsiTheme="minorHAnsi" w:cstheme="minorHAnsi"/>
              </w:rPr>
              <w:t xml:space="preserve">Training Package developers comply with the </w:t>
            </w:r>
            <w:r w:rsidRPr="0024568B">
              <w:rPr>
                <w:rFonts w:asciiTheme="minorHAnsi" w:hAnsiTheme="minorHAnsi" w:cstheme="minorHAnsi"/>
                <w:i/>
              </w:rPr>
              <w:t>Training Package Products Policy</w:t>
            </w:r>
          </w:p>
        </w:tc>
        <w:tc>
          <w:tcPr>
            <w:tcW w:w="651" w:type="pct"/>
          </w:tcPr>
          <w:p w14:paraId="77711B64" w14:textId="151D538E" w:rsidR="00827294" w:rsidRPr="0024568B" w:rsidRDefault="00F50B93" w:rsidP="00791817">
            <w:pPr>
              <w:spacing w:before="0" w:after="0" w:line="240" w:lineRule="auto"/>
              <w:ind w:right="-613"/>
              <w:rPr>
                <w:rFonts w:asciiTheme="minorHAnsi" w:hAnsiTheme="minorHAnsi" w:cstheme="minorHAnsi"/>
                <w:b/>
                <w:bCs/>
                <w:i/>
                <w:iCs/>
                <w:lang w:val="en-US"/>
              </w:rPr>
            </w:pPr>
            <w:r>
              <w:rPr>
                <w:rFonts w:asciiTheme="minorHAnsi" w:hAnsiTheme="minorHAnsi" w:cstheme="minorHAnsi"/>
                <w:b/>
                <w:bCs/>
                <w:i/>
                <w:iCs/>
                <w:lang w:val="en-US"/>
              </w:rPr>
              <w:t>Yes</w:t>
            </w:r>
          </w:p>
        </w:tc>
        <w:tc>
          <w:tcPr>
            <w:tcW w:w="2465" w:type="pct"/>
          </w:tcPr>
          <w:p w14:paraId="61E5B515" w14:textId="77777777" w:rsidR="00505498" w:rsidRPr="000A44D7" w:rsidRDefault="00505498" w:rsidP="00505498">
            <w:pPr>
              <w:spacing w:line="240" w:lineRule="auto"/>
              <w:rPr>
                <w:rFonts w:asciiTheme="minorHAnsi" w:hAnsiTheme="minorHAnsi" w:cstheme="minorHAnsi"/>
              </w:rPr>
            </w:pPr>
            <w:r w:rsidRPr="000A44D7">
              <w:rPr>
                <w:rFonts w:asciiTheme="minorHAnsi" w:hAnsiTheme="minorHAnsi" w:cstheme="minorHAnsi"/>
              </w:rPr>
              <w:t xml:space="preserve">Skills Impact has complied with the requirements of Standard 2 - Compliance with the Training Package Products Policy (TPPP). Supporting evidence includes: </w:t>
            </w:r>
          </w:p>
          <w:p w14:paraId="4460CD35" w14:textId="13F57445" w:rsidR="00505498" w:rsidRDefault="00505498" w:rsidP="00505498">
            <w:pPr>
              <w:pStyle w:val="Tablebullet"/>
              <w:rPr>
                <w:rFonts w:asciiTheme="minorHAnsi" w:hAnsiTheme="minorHAnsi" w:cstheme="minorHAnsi"/>
              </w:rPr>
            </w:pPr>
            <w:r w:rsidRPr="000A44D7">
              <w:rPr>
                <w:rFonts w:asciiTheme="minorHAnsi" w:hAnsiTheme="minorHAnsi" w:cstheme="minorHAnsi"/>
              </w:rPr>
              <w:t xml:space="preserve">Compliance with changes to coding of </w:t>
            </w:r>
            <w:r>
              <w:rPr>
                <w:rFonts w:asciiTheme="minorHAnsi" w:hAnsiTheme="minorHAnsi" w:cstheme="minorHAnsi"/>
              </w:rPr>
              <w:t xml:space="preserve">two </w:t>
            </w:r>
            <w:r w:rsidRPr="000A44D7">
              <w:rPr>
                <w:rFonts w:asciiTheme="minorHAnsi" w:hAnsiTheme="minorHAnsi" w:cstheme="minorHAnsi"/>
              </w:rPr>
              <w:t>components proposed for endorsement</w:t>
            </w:r>
          </w:p>
          <w:p w14:paraId="4A7A4505" w14:textId="2B14757D" w:rsidR="007A42FD" w:rsidRPr="000A44D7" w:rsidRDefault="007A42FD" w:rsidP="00505498">
            <w:pPr>
              <w:pStyle w:val="Tablebullet"/>
              <w:rPr>
                <w:rFonts w:asciiTheme="minorHAnsi" w:hAnsiTheme="minorHAnsi" w:cstheme="minorHAnsi"/>
              </w:rPr>
            </w:pPr>
            <w:r>
              <w:rPr>
                <w:rFonts w:asciiTheme="minorHAnsi" w:hAnsiTheme="minorHAnsi" w:cstheme="minorHAnsi"/>
              </w:rPr>
              <w:t>Prerequisite units for core units have been repositioned in the Certificate IV qualification structure as core units</w:t>
            </w:r>
          </w:p>
          <w:p w14:paraId="50AD3748" w14:textId="2AC15817" w:rsidR="00505498" w:rsidRDefault="00505498" w:rsidP="00505498">
            <w:pPr>
              <w:pStyle w:val="Tablebullet"/>
              <w:rPr>
                <w:rFonts w:asciiTheme="minorHAnsi" w:hAnsiTheme="minorHAnsi" w:cstheme="minorHAnsi"/>
              </w:rPr>
            </w:pPr>
            <w:r w:rsidRPr="000A44D7">
              <w:rPr>
                <w:rFonts w:asciiTheme="minorHAnsi" w:hAnsiTheme="minorHAnsi" w:cstheme="minorHAnsi"/>
              </w:rPr>
              <w:t>Pathway advice for qualifications is included in the CVIG</w:t>
            </w:r>
          </w:p>
          <w:p w14:paraId="1101E192" w14:textId="1F18D23B" w:rsidR="00505498" w:rsidRPr="000A44D7" w:rsidRDefault="00505498" w:rsidP="00505498">
            <w:pPr>
              <w:pStyle w:val="Tablebullet"/>
              <w:rPr>
                <w:rFonts w:asciiTheme="minorHAnsi" w:hAnsiTheme="minorHAnsi" w:cstheme="minorHAnsi"/>
              </w:rPr>
            </w:pPr>
            <w:r w:rsidRPr="000A44D7">
              <w:rPr>
                <w:rFonts w:asciiTheme="minorHAnsi" w:hAnsiTheme="minorHAnsi" w:cstheme="minorHAnsi"/>
              </w:rPr>
              <w:t xml:space="preserve">Entry requirements specified for the Certificate IV in </w:t>
            </w:r>
            <w:r>
              <w:rPr>
                <w:rFonts w:asciiTheme="minorHAnsi" w:hAnsiTheme="minorHAnsi" w:cstheme="minorHAnsi"/>
              </w:rPr>
              <w:t>Racing (Jockey)</w:t>
            </w:r>
            <w:r w:rsidRPr="000A44D7">
              <w:rPr>
                <w:rFonts w:asciiTheme="minorHAnsi" w:hAnsiTheme="minorHAnsi" w:cstheme="minorHAnsi"/>
              </w:rPr>
              <w:t xml:space="preserve"> have been expressed in terms of competency as required by the TPPP</w:t>
            </w:r>
          </w:p>
          <w:p w14:paraId="136CB922" w14:textId="03E6A81E" w:rsidR="00505498" w:rsidRDefault="00505498" w:rsidP="00505498">
            <w:pPr>
              <w:pStyle w:val="Tablebullet"/>
              <w:rPr>
                <w:rFonts w:asciiTheme="minorHAnsi" w:hAnsiTheme="minorHAnsi" w:cstheme="minorHAnsi"/>
              </w:rPr>
            </w:pPr>
            <w:r w:rsidRPr="000A44D7">
              <w:rPr>
                <w:rFonts w:asciiTheme="minorHAnsi" w:hAnsiTheme="minorHAnsi" w:cstheme="minorHAnsi"/>
              </w:rPr>
              <w:t>Imported units in qualifications have been updated to reflect endorsed unit codes and titles</w:t>
            </w:r>
          </w:p>
          <w:p w14:paraId="42CC368E" w14:textId="2F55AD25" w:rsidR="003F071E" w:rsidRDefault="003F071E" w:rsidP="003F071E">
            <w:pPr>
              <w:pStyle w:val="Tablebullet"/>
              <w:numPr>
                <w:ilvl w:val="0"/>
                <w:numId w:val="0"/>
              </w:numPr>
              <w:rPr>
                <w:rFonts w:asciiTheme="minorHAnsi" w:hAnsiTheme="minorHAnsi" w:cstheme="minorHAnsi"/>
              </w:rPr>
            </w:pPr>
          </w:p>
          <w:p w14:paraId="04E029D4" w14:textId="798FDD84" w:rsidR="003F071E" w:rsidRPr="000A44D7" w:rsidRDefault="003F071E" w:rsidP="003F071E">
            <w:pPr>
              <w:pStyle w:val="Tablebullet"/>
              <w:numPr>
                <w:ilvl w:val="0"/>
                <w:numId w:val="0"/>
              </w:numPr>
              <w:rPr>
                <w:rFonts w:asciiTheme="minorHAnsi" w:hAnsiTheme="minorHAnsi" w:cstheme="minorHAnsi"/>
              </w:rPr>
            </w:pPr>
            <w:r>
              <w:rPr>
                <w:rFonts w:asciiTheme="minorHAnsi" w:hAnsiTheme="minorHAnsi" w:cstheme="minorHAnsi"/>
              </w:rPr>
              <w:t>The Editorial Report raised note for QA to consider ‘equivalence’ determination of qualifications according to the specific requirements of section 3.4 of the TPPP. Advice to the developer that Certificate IV in Racing (Jockey) was not equivalent due to the removal of micro business units from the core changing the outcome of the qualification, was adopted by the developer.</w:t>
            </w:r>
          </w:p>
          <w:p w14:paraId="565D3F19" w14:textId="6F1C342F" w:rsidR="00505498" w:rsidRDefault="00505498" w:rsidP="00505498">
            <w:pPr>
              <w:pStyle w:val="Tablebullet"/>
              <w:numPr>
                <w:ilvl w:val="0"/>
                <w:numId w:val="0"/>
              </w:numPr>
              <w:rPr>
                <w:rFonts w:asciiTheme="minorHAnsi" w:hAnsiTheme="minorHAnsi" w:cstheme="minorHAnsi"/>
              </w:rPr>
            </w:pPr>
          </w:p>
          <w:p w14:paraId="280AE922" w14:textId="57D2EAE1" w:rsidR="00505498" w:rsidRPr="000A44D7" w:rsidRDefault="00505498" w:rsidP="00505498">
            <w:pPr>
              <w:pStyle w:val="Tablebullet"/>
              <w:numPr>
                <w:ilvl w:val="0"/>
                <w:numId w:val="0"/>
              </w:numPr>
              <w:rPr>
                <w:rFonts w:asciiTheme="minorHAnsi" w:hAnsiTheme="minorHAnsi" w:cstheme="minorHAnsi"/>
              </w:rPr>
            </w:pPr>
            <w:r>
              <w:rPr>
                <w:rFonts w:asciiTheme="minorHAnsi" w:hAnsiTheme="minorHAnsi" w:cstheme="minorHAnsi"/>
              </w:rPr>
              <w:t xml:space="preserve">The Equity Report confirms that advice on access and equity considerations including reasonable adjustment is included in the RGR CVIG. </w:t>
            </w:r>
          </w:p>
          <w:p w14:paraId="4934D1F9" w14:textId="77777777" w:rsidR="00827294" w:rsidRPr="0024568B" w:rsidRDefault="00827294" w:rsidP="00791817">
            <w:pPr>
              <w:spacing w:before="0" w:after="0" w:line="240" w:lineRule="auto"/>
              <w:ind w:right="-613"/>
              <w:rPr>
                <w:rFonts w:asciiTheme="minorHAnsi" w:hAnsiTheme="minorHAnsi" w:cstheme="minorHAnsi"/>
                <w:b/>
                <w:bCs/>
                <w:i/>
                <w:iCs/>
                <w:lang w:val="en-US"/>
              </w:rPr>
            </w:pPr>
          </w:p>
        </w:tc>
      </w:tr>
      <w:tr w:rsidR="00827294" w:rsidRPr="0024568B" w14:paraId="16CCECA4" w14:textId="77777777" w:rsidTr="00F27D1C">
        <w:trPr>
          <w:cantSplit/>
          <w:trHeight w:val="97"/>
        </w:trPr>
        <w:tc>
          <w:tcPr>
            <w:tcW w:w="1885" w:type="pct"/>
          </w:tcPr>
          <w:p w14:paraId="2E38D096" w14:textId="77777777" w:rsidR="00827294" w:rsidRPr="0024568B" w:rsidRDefault="00827294" w:rsidP="00791817">
            <w:pPr>
              <w:tabs>
                <w:tab w:val="left" w:pos="1135"/>
              </w:tabs>
              <w:spacing w:before="0" w:after="0" w:line="240" w:lineRule="auto"/>
              <w:ind w:left="1135" w:hanging="1135"/>
              <w:rPr>
                <w:rFonts w:asciiTheme="minorHAnsi" w:hAnsiTheme="minorHAnsi" w:cstheme="minorHAnsi"/>
              </w:rPr>
            </w:pPr>
            <w:r w:rsidRPr="0024568B">
              <w:rPr>
                <w:rFonts w:asciiTheme="minorHAnsi" w:hAnsiTheme="minorHAnsi" w:cstheme="minorHAnsi"/>
              </w:rPr>
              <w:lastRenderedPageBreak/>
              <w:t>Standard 3</w:t>
            </w:r>
            <w:r w:rsidRPr="0024568B">
              <w:rPr>
                <w:rFonts w:asciiTheme="minorHAnsi" w:hAnsiTheme="minorHAnsi" w:cstheme="minorHAnsi"/>
              </w:rPr>
              <w:tab/>
            </w:r>
          </w:p>
          <w:p w14:paraId="54A6DAAA" w14:textId="77777777" w:rsidR="00827294" w:rsidRPr="00163537" w:rsidRDefault="00827294" w:rsidP="00791817">
            <w:pPr>
              <w:tabs>
                <w:tab w:val="left" w:pos="1135"/>
              </w:tabs>
              <w:spacing w:before="0" w:after="0" w:line="240" w:lineRule="auto"/>
              <w:ind w:left="1135" w:hanging="1135"/>
              <w:rPr>
                <w:rFonts w:asciiTheme="minorHAnsi" w:hAnsiTheme="minorHAnsi" w:cstheme="minorHAnsi"/>
                <w:sz w:val="16"/>
                <w:szCs w:val="16"/>
              </w:rPr>
            </w:pPr>
          </w:p>
          <w:p w14:paraId="201F933C" w14:textId="77777777" w:rsidR="00827294" w:rsidRPr="0024568B" w:rsidRDefault="00827294" w:rsidP="005A002F">
            <w:pPr>
              <w:tabs>
                <w:tab w:val="left" w:pos="0"/>
              </w:tabs>
              <w:spacing w:before="0" w:after="0" w:line="240" w:lineRule="auto"/>
              <w:rPr>
                <w:rFonts w:asciiTheme="minorHAnsi" w:hAnsiTheme="minorHAnsi" w:cstheme="minorHAnsi"/>
                <w:b/>
              </w:rPr>
            </w:pPr>
            <w:r w:rsidRPr="0024568B">
              <w:rPr>
                <w:rFonts w:asciiTheme="minorHAnsi" w:hAnsiTheme="minorHAnsi" w:cstheme="minorHAnsi"/>
              </w:rPr>
              <w:t xml:space="preserve">Training Package developers comply with the AISC </w:t>
            </w:r>
            <w:r w:rsidRPr="004B121A">
              <w:rPr>
                <w:rFonts w:asciiTheme="minorHAnsi" w:hAnsiTheme="minorHAnsi" w:cstheme="minorHAnsi"/>
                <w:i/>
              </w:rPr>
              <w:t>Training Package Development and Endorsement Process Policy</w:t>
            </w:r>
          </w:p>
        </w:tc>
        <w:tc>
          <w:tcPr>
            <w:tcW w:w="651" w:type="pct"/>
          </w:tcPr>
          <w:p w14:paraId="766038B7" w14:textId="726797E5" w:rsidR="00827294" w:rsidRPr="0024568B" w:rsidRDefault="00F50B93" w:rsidP="00791817">
            <w:pPr>
              <w:spacing w:before="0" w:after="0" w:line="240" w:lineRule="auto"/>
              <w:ind w:right="-613"/>
              <w:rPr>
                <w:rFonts w:asciiTheme="minorHAnsi" w:hAnsiTheme="minorHAnsi" w:cstheme="minorHAnsi"/>
                <w:b/>
                <w:bCs/>
                <w:i/>
                <w:iCs/>
                <w:lang w:val="en-US"/>
              </w:rPr>
            </w:pPr>
            <w:r>
              <w:rPr>
                <w:rFonts w:asciiTheme="minorHAnsi" w:hAnsiTheme="minorHAnsi" w:cstheme="minorHAnsi"/>
                <w:b/>
                <w:bCs/>
                <w:i/>
                <w:iCs/>
                <w:lang w:val="en-US"/>
              </w:rPr>
              <w:t>Yes</w:t>
            </w:r>
          </w:p>
        </w:tc>
        <w:tc>
          <w:tcPr>
            <w:tcW w:w="2465" w:type="pct"/>
          </w:tcPr>
          <w:p w14:paraId="3FA2A959" w14:textId="01E3AC82" w:rsidR="00317B10" w:rsidRPr="000A44D7" w:rsidRDefault="00317B10" w:rsidP="00317B10">
            <w:pPr>
              <w:spacing w:line="240" w:lineRule="auto"/>
              <w:rPr>
                <w:rFonts w:asciiTheme="minorHAnsi" w:hAnsiTheme="minorHAnsi" w:cstheme="minorHAnsi"/>
                <w:lang w:val="en-US"/>
              </w:rPr>
            </w:pPr>
            <w:r w:rsidRPr="000A44D7">
              <w:rPr>
                <w:rFonts w:asciiTheme="minorHAnsi" w:hAnsiTheme="minorHAnsi" w:cstheme="minorHAnsi"/>
                <w:lang w:val="en-US"/>
              </w:rPr>
              <w:t xml:space="preserve">The </w:t>
            </w:r>
            <w:proofErr w:type="spellStart"/>
            <w:r w:rsidRPr="000A44D7">
              <w:rPr>
                <w:rFonts w:asciiTheme="minorHAnsi" w:hAnsiTheme="minorHAnsi" w:cstheme="minorHAnsi"/>
                <w:lang w:val="en-US"/>
              </w:rPr>
              <w:t>CfE</w:t>
            </w:r>
            <w:proofErr w:type="spellEnd"/>
            <w:r w:rsidRPr="000A44D7">
              <w:rPr>
                <w:rFonts w:asciiTheme="minorHAnsi" w:hAnsiTheme="minorHAnsi" w:cstheme="minorHAnsi"/>
                <w:lang w:val="en-US"/>
              </w:rPr>
              <w:t xml:space="preserve"> provides information about the </w:t>
            </w:r>
            <w:r>
              <w:rPr>
                <w:rFonts w:asciiTheme="minorHAnsi" w:hAnsiTheme="minorHAnsi" w:cstheme="minorHAnsi"/>
                <w:lang w:val="en-US"/>
              </w:rPr>
              <w:t>Racing and Breeding</w:t>
            </w:r>
            <w:r w:rsidRPr="000A44D7">
              <w:rPr>
                <w:rFonts w:asciiTheme="minorHAnsi" w:hAnsiTheme="minorHAnsi" w:cstheme="minorHAnsi"/>
                <w:lang w:val="en-US"/>
              </w:rPr>
              <w:t xml:space="preserve"> Industry Reference Committee’s (IRC) and Skills Impact’s development processes for the two </w:t>
            </w:r>
            <w:r>
              <w:rPr>
                <w:rFonts w:asciiTheme="minorHAnsi" w:hAnsiTheme="minorHAnsi" w:cstheme="minorHAnsi"/>
                <w:lang w:val="en-US"/>
              </w:rPr>
              <w:t xml:space="preserve">qualifications </w:t>
            </w:r>
            <w:r w:rsidRPr="000A44D7">
              <w:rPr>
                <w:rFonts w:asciiTheme="minorHAnsi" w:hAnsiTheme="minorHAnsi" w:cstheme="minorHAnsi"/>
                <w:lang w:val="en-US"/>
              </w:rPr>
              <w:t xml:space="preserve">included in the </w:t>
            </w:r>
            <w:proofErr w:type="spellStart"/>
            <w:r w:rsidRPr="000A44D7">
              <w:rPr>
                <w:rFonts w:asciiTheme="minorHAnsi" w:hAnsiTheme="minorHAnsi" w:cstheme="minorHAnsi"/>
                <w:lang w:val="en-US"/>
              </w:rPr>
              <w:t>CfE</w:t>
            </w:r>
            <w:proofErr w:type="spellEnd"/>
            <w:r w:rsidRPr="000A44D7">
              <w:rPr>
                <w:rFonts w:asciiTheme="minorHAnsi" w:hAnsiTheme="minorHAnsi" w:cstheme="minorHAnsi"/>
                <w:lang w:val="en-US"/>
              </w:rPr>
              <w:t xml:space="preserve"> and compliance with the </w:t>
            </w:r>
            <w:r w:rsidRPr="000A44D7">
              <w:rPr>
                <w:rFonts w:asciiTheme="minorHAnsi" w:hAnsiTheme="minorHAnsi" w:cstheme="minorHAnsi"/>
                <w:i/>
                <w:iCs/>
                <w:lang w:val="en-US"/>
              </w:rPr>
              <w:t xml:space="preserve">Training Package Development and Endorsement Process Policy (TPDEPP) </w:t>
            </w:r>
            <w:r w:rsidRPr="000A44D7">
              <w:rPr>
                <w:rFonts w:asciiTheme="minorHAnsi" w:hAnsiTheme="minorHAnsi" w:cstheme="minorHAnsi"/>
                <w:lang w:val="en-US"/>
              </w:rPr>
              <w:t>including:</w:t>
            </w:r>
          </w:p>
          <w:p w14:paraId="5E47A308" w14:textId="7C4BAC90" w:rsidR="00317B10" w:rsidRPr="000A44D7" w:rsidRDefault="00317B10" w:rsidP="00317B10">
            <w:pPr>
              <w:pStyle w:val="Tablebullet"/>
              <w:rPr>
                <w:rFonts w:asciiTheme="minorHAnsi" w:hAnsiTheme="minorHAnsi" w:cstheme="minorHAnsi"/>
              </w:rPr>
            </w:pPr>
            <w:r w:rsidRPr="000A44D7">
              <w:rPr>
                <w:rFonts w:asciiTheme="minorHAnsi" w:hAnsiTheme="minorHAnsi" w:cstheme="minorHAnsi"/>
              </w:rPr>
              <w:t xml:space="preserve">Establishment of </w:t>
            </w:r>
            <w:r>
              <w:rPr>
                <w:rFonts w:asciiTheme="minorHAnsi" w:hAnsiTheme="minorHAnsi" w:cstheme="minorHAnsi"/>
              </w:rPr>
              <w:t>a</w:t>
            </w:r>
            <w:r w:rsidR="00CE7F18">
              <w:rPr>
                <w:rFonts w:asciiTheme="minorHAnsi" w:hAnsiTheme="minorHAnsi" w:cstheme="minorHAnsi"/>
              </w:rPr>
              <w:t xml:space="preserve"> </w:t>
            </w:r>
            <w:r w:rsidRPr="000A44D7">
              <w:rPr>
                <w:rFonts w:asciiTheme="minorHAnsi" w:hAnsiTheme="minorHAnsi" w:cstheme="minorHAnsi"/>
              </w:rPr>
              <w:t>Subject Ma</w:t>
            </w:r>
            <w:r>
              <w:rPr>
                <w:rFonts w:asciiTheme="minorHAnsi" w:hAnsiTheme="minorHAnsi" w:cstheme="minorHAnsi"/>
              </w:rPr>
              <w:t>tt</w:t>
            </w:r>
            <w:r w:rsidRPr="000A44D7">
              <w:rPr>
                <w:rFonts w:asciiTheme="minorHAnsi" w:hAnsiTheme="minorHAnsi" w:cstheme="minorHAnsi"/>
              </w:rPr>
              <w:t>er Expert (SME) working group</w:t>
            </w:r>
            <w:r>
              <w:rPr>
                <w:rFonts w:asciiTheme="minorHAnsi" w:hAnsiTheme="minorHAnsi" w:cstheme="minorHAnsi"/>
              </w:rPr>
              <w:t xml:space="preserve"> </w:t>
            </w:r>
            <w:r w:rsidR="00CE7F18">
              <w:rPr>
                <w:rFonts w:asciiTheme="minorHAnsi" w:hAnsiTheme="minorHAnsi" w:cstheme="minorHAnsi"/>
              </w:rPr>
              <w:t xml:space="preserve">drawn </w:t>
            </w:r>
            <w:r>
              <w:rPr>
                <w:rFonts w:asciiTheme="minorHAnsi" w:hAnsiTheme="minorHAnsi" w:cstheme="minorHAnsi"/>
              </w:rPr>
              <w:t xml:space="preserve">from IRC members representing </w:t>
            </w:r>
            <w:r w:rsidR="00082AF1">
              <w:rPr>
                <w:rFonts w:asciiTheme="minorHAnsi" w:hAnsiTheme="minorHAnsi" w:cstheme="minorHAnsi"/>
              </w:rPr>
              <w:t xml:space="preserve">racing </w:t>
            </w:r>
            <w:r>
              <w:rPr>
                <w:rFonts w:asciiTheme="minorHAnsi" w:hAnsiTheme="minorHAnsi" w:cstheme="minorHAnsi"/>
              </w:rPr>
              <w:t>industry associations</w:t>
            </w:r>
            <w:r w:rsidR="00B05CD9">
              <w:rPr>
                <w:rFonts w:asciiTheme="minorHAnsi" w:hAnsiTheme="minorHAnsi" w:cstheme="minorHAnsi"/>
              </w:rPr>
              <w:t xml:space="preserve">. </w:t>
            </w:r>
          </w:p>
          <w:p w14:paraId="0DE0AE32" w14:textId="684C489D" w:rsidR="00317B10" w:rsidRPr="000A44D7" w:rsidRDefault="00317B10" w:rsidP="00317B10">
            <w:pPr>
              <w:pStyle w:val="Tablebullet"/>
              <w:rPr>
                <w:rFonts w:asciiTheme="minorHAnsi" w:hAnsiTheme="minorHAnsi" w:cstheme="minorHAnsi"/>
              </w:rPr>
            </w:pPr>
            <w:r w:rsidRPr="000A44D7">
              <w:rPr>
                <w:rFonts w:asciiTheme="minorHAnsi" w:hAnsiTheme="minorHAnsi" w:cstheme="minorHAnsi"/>
              </w:rPr>
              <w:t>promotion through a variety of channels of consultation and validation strategies and opportunities for participation and compliant timeframes for each phase of consultation</w:t>
            </w:r>
            <w:r>
              <w:rPr>
                <w:rFonts w:asciiTheme="minorHAnsi" w:hAnsiTheme="minorHAnsi" w:cstheme="minorHAnsi"/>
              </w:rPr>
              <w:t xml:space="preserve"> and validation</w:t>
            </w:r>
          </w:p>
          <w:p w14:paraId="12DF76EE" w14:textId="77777777" w:rsidR="00317B10" w:rsidRPr="00317B10" w:rsidRDefault="00317B10" w:rsidP="00317B10">
            <w:pPr>
              <w:pStyle w:val="Tablebullet"/>
              <w:rPr>
                <w:rFonts w:asciiTheme="minorHAnsi" w:hAnsiTheme="minorHAnsi" w:cstheme="minorHAnsi"/>
                <w:lang w:val="en-US"/>
              </w:rPr>
            </w:pPr>
            <w:r w:rsidRPr="000A44D7">
              <w:rPr>
                <w:rFonts w:asciiTheme="minorHAnsi" w:hAnsiTheme="minorHAnsi" w:cstheme="minorHAnsi"/>
              </w:rPr>
              <w:t>flexible communication and engagement strategies, as required by nature of the industry and current national</w:t>
            </w:r>
            <w:r>
              <w:rPr>
                <w:rFonts w:asciiTheme="minorHAnsi" w:hAnsiTheme="minorHAnsi" w:cstheme="minorHAnsi"/>
              </w:rPr>
              <w:t xml:space="preserve"> </w:t>
            </w:r>
            <w:r w:rsidRPr="000A44D7">
              <w:rPr>
                <w:rFonts w:asciiTheme="minorHAnsi" w:hAnsiTheme="minorHAnsi" w:cstheme="minorHAnsi"/>
              </w:rPr>
              <w:t>restrictions on travel and face to face events</w:t>
            </w:r>
          </w:p>
          <w:p w14:paraId="646CAF1A" w14:textId="1CCF7DCF" w:rsidR="00827294" w:rsidRPr="00317B10" w:rsidRDefault="00317B10" w:rsidP="00317B10">
            <w:pPr>
              <w:pStyle w:val="Tablebullet"/>
              <w:rPr>
                <w:rFonts w:asciiTheme="minorHAnsi" w:hAnsiTheme="minorHAnsi" w:cstheme="minorHAnsi"/>
                <w:lang w:val="en-US"/>
              </w:rPr>
            </w:pPr>
            <w:r w:rsidRPr="00317B10">
              <w:rPr>
                <w:rFonts w:asciiTheme="minorHAnsi" w:hAnsiTheme="minorHAnsi" w:cstheme="minorHAnsi"/>
              </w:rPr>
              <w:t>summaries of feedback, responses and actions available on the website for each stage of the project, which were examined in the quality assurance process to confirm stakeholder engagement and developer actions</w:t>
            </w:r>
            <w:r>
              <w:rPr>
                <w:rFonts w:cstheme="minorHAnsi"/>
              </w:rPr>
              <w:t xml:space="preserve"> undertaken.</w:t>
            </w:r>
          </w:p>
        </w:tc>
      </w:tr>
      <w:tr w:rsidR="00827294" w:rsidRPr="0024568B" w14:paraId="7ADE2300" w14:textId="77777777" w:rsidTr="00F27D1C">
        <w:trPr>
          <w:cantSplit/>
          <w:trHeight w:val="97"/>
        </w:trPr>
        <w:tc>
          <w:tcPr>
            <w:tcW w:w="1885" w:type="pct"/>
          </w:tcPr>
          <w:p w14:paraId="4E9EFA83" w14:textId="77777777" w:rsidR="00827294" w:rsidRPr="0024568B" w:rsidRDefault="00827294" w:rsidP="00C20EC6">
            <w:pPr>
              <w:tabs>
                <w:tab w:val="left" w:pos="1135"/>
              </w:tabs>
              <w:spacing w:before="0" w:after="0" w:line="240" w:lineRule="auto"/>
              <w:ind w:left="1135" w:hanging="1135"/>
              <w:rPr>
                <w:rFonts w:asciiTheme="minorHAnsi" w:hAnsiTheme="minorHAnsi" w:cstheme="minorHAnsi"/>
              </w:rPr>
            </w:pPr>
            <w:r w:rsidRPr="0024568B">
              <w:rPr>
                <w:rFonts w:asciiTheme="minorHAnsi" w:hAnsiTheme="minorHAnsi" w:cstheme="minorHAnsi"/>
              </w:rPr>
              <w:t>Standard 4</w:t>
            </w:r>
            <w:r w:rsidRPr="0024568B">
              <w:rPr>
                <w:rFonts w:asciiTheme="minorHAnsi" w:hAnsiTheme="minorHAnsi" w:cstheme="minorHAnsi"/>
              </w:rPr>
              <w:tab/>
            </w:r>
          </w:p>
          <w:p w14:paraId="43FD5080" w14:textId="77777777" w:rsidR="00827294" w:rsidRPr="00163537" w:rsidRDefault="00827294" w:rsidP="00C20EC6">
            <w:pPr>
              <w:tabs>
                <w:tab w:val="left" w:pos="1135"/>
              </w:tabs>
              <w:spacing w:before="0" w:after="0" w:line="240" w:lineRule="auto"/>
              <w:ind w:left="1135" w:hanging="1135"/>
              <w:rPr>
                <w:rFonts w:asciiTheme="minorHAnsi" w:hAnsiTheme="minorHAnsi" w:cstheme="minorHAnsi"/>
                <w:sz w:val="16"/>
                <w:szCs w:val="16"/>
              </w:rPr>
            </w:pPr>
          </w:p>
          <w:p w14:paraId="68062154" w14:textId="77777777" w:rsidR="00827294" w:rsidRPr="0024568B" w:rsidRDefault="00827294" w:rsidP="00C20EC6">
            <w:pPr>
              <w:tabs>
                <w:tab w:val="left" w:pos="0"/>
              </w:tabs>
              <w:spacing w:before="0" w:after="0" w:line="240" w:lineRule="auto"/>
              <w:rPr>
                <w:rFonts w:asciiTheme="minorHAnsi" w:hAnsiTheme="minorHAnsi" w:cstheme="minorHAnsi"/>
                <w:b/>
              </w:rPr>
            </w:pPr>
            <w:r w:rsidRPr="0024568B">
              <w:rPr>
                <w:rFonts w:asciiTheme="minorHAnsi" w:hAnsiTheme="minorHAnsi" w:cstheme="minorHAnsi"/>
              </w:rPr>
              <w:t>Units of competency specify the standards of performance required in the workplace</w:t>
            </w:r>
          </w:p>
        </w:tc>
        <w:tc>
          <w:tcPr>
            <w:tcW w:w="651" w:type="pct"/>
          </w:tcPr>
          <w:p w14:paraId="4E3983C2" w14:textId="2C157866" w:rsidR="00827294" w:rsidRPr="0024568B" w:rsidRDefault="00317B10" w:rsidP="00317B10">
            <w:pPr>
              <w:spacing w:after="0" w:line="240" w:lineRule="auto"/>
              <w:ind w:right="176"/>
              <w:rPr>
                <w:rFonts w:asciiTheme="minorHAnsi" w:hAnsiTheme="minorHAnsi" w:cstheme="minorHAnsi"/>
                <w:b/>
                <w:bCs/>
                <w:i/>
                <w:iCs/>
                <w:lang w:val="en-US"/>
              </w:rPr>
            </w:pPr>
            <w:r>
              <w:rPr>
                <w:rFonts w:asciiTheme="minorHAnsi" w:hAnsiTheme="minorHAnsi" w:cstheme="minorHAnsi"/>
                <w:b/>
                <w:bCs/>
                <w:i/>
                <w:iCs/>
                <w:lang w:val="en-US"/>
              </w:rPr>
              <w:t>Not applicable</w:t>
            </w:r>
          </w:p>
        </w:tc>
        <w:tc>
          <w:tcPr>
            <w:tcW w:w="2465" w:type="pct"/>
          </w:tcPr>
          <w:p w14:paraId="0F808711" w14:textId="464BF382" w:rsidR="00827294" w:rsidRPr="0024568B" w:rsidRDefault="00827294" w:rsidP="00791817">
            <w:pPr>
              <w:spacing w:after="0" w:line="240" w:lineRule="auto"/>
              <w:ind w:right="-613"/>
              <w:rPr>
                <w:rFonts w:asciiTheme="minorHAnsi" w:hAnsiTheme="minorHAnsi" w:cstheme="minorHAnsi"/>
                <w:b/>
                <w:bCs/>
                <w:i/>
                <w:iCs/>
                <w:lang w:val="en-US"/>
              </w:rPr>
            </w:pPr>
          </w:p>
        </w:tc>
      </w:tr>
      <w:tr w:rsidR="00827294" w:rsidRPr="0024568B" w14:paraId="5064A137" w14:textId="77777777" w:rsidTr="00F27D1C">
        <w:trPr>
          <w:cantSplit/>
          <w:trHeight w:val="97"/>
        </w:trPr>
        <w:tc>
          <w:tcPr>
            <w:tcW w:w="1885" w:type="pct"/>
          </w:tcPr>
          <w:p w14:paraId="36F1BE52" w14:textId="77777777" w:rsidR="00827294" w:rsidRPr="0024568B" w:rsidRDefault="00827294" w:rsidP="00C20EC6">
            <w:pPr>
              <w:tabs>
                <w:tab w:val="left" w:pos="1135"/>
              </w:tabs>
              <w:spacing w:before="0" w:after="0" w:line="240" w:lineRule="auto"/>
              <w:ind w:left="1135" w:hanging="1135"/>
              <w:rPr>
                <w:rFonts w:asciiTheme="minorHAnsi" w:hAnsiTheme="minorHAnsi" w:cstheme="minorHAnsi"/>
              </w:rPr>
            </w:pPr>
            <w:r w:rsidRPr="0024568B">
              <w:rPr>
                <w:rFonts w:asciiTheme="minorHAnsi" w:hAnsiTheme="minorHAnsi" w:cstheme="minorHAnsi"/>
              </w:rPr>
              <w:t>Standard 5</w:t>
            </w:r>
          </w:p>
          <w:p w14:paraId="731F2B6C" w14:textId="77777777" w:rsidR="00827294" w:rsidRPr="00A31B82" w:rsidRDefault="00827294" w:rsidP="00C20EC6">
            <w:pPr>
              <w:tabs>
                <w:tab w:val="left" w:pos="1135"/>
              </w:tabs>
              <w:spacing w:before="0" w:after="0" w:line="240" w:lineRule="auto"/>
              <w:ind w:left="1135" w:hanging="1135"/>
              <w:rPr>
                <w:rFonts w:asciiTheme="minorHAnsi" w:hAnsiTheme="minorHAnsi" w:cstheme="minorHAnsi"/>
                <w:sz w:val="16"/>
                <w:szCs w:val="16"/>
              </w:rPr>
            </w:pPr>
            <w:r w:rsidRPr="0024568B">
              <w:rPr>
                <w:rFonts w:asciiTheme="minorHAnsi" w:hAnsiTheme="minorHAnsi" w:cstheme="minorHAnsi"/>
              </w:rPr>
              <w:tab/>
            </w:r>
          </w:p>
          <w:p w14:paraId="0DD1D40F" w14:textId="77777777" w:rsidR="00827294" w:rsidRPr="0024568B" w:rsidRDefault="00827294" w:rsidP="00A00B08">
            <w:pPr>
              <w:tabs>
                <w:tab w:val="left" w:pos="0"/>
              </w:tabs>
              <w:spacing w:before="0" w:after="0" w:line="240" w:lineRule="auto"/>
              <w:rPr>
                <w:rFonts w:asciiTheme="minorHAnsi" w:hAnsiTheme="minorHAnsi" w:cstheme="minorHAnsi"/>
                <w:b/>
              </w:rPr>
            </w:pPr>
            <w:r w:rsidRPr="0024568B">
              <w:rPr>
                <w:rFonts w:asciiTheme="minorHAnsi" w:hAnsiTheme="minorHAnsi" w:cstheme="minorHAnsi"/>
              </w:rPr>
              <w:t>The structure of units of competency complies with the unit of competency template</w:t>
            </w:r>
          </w:p>
        </w:tc>
        <w:tc>
          <w:tcPr>
            <w:tcW w:w="651" w:type="pct"/>
          </w:tcPr>
          <w:p w14:paraId="45C106CF" w14:textId="0C2C1887" w:rsidR="00827294" w:rsidRPr="0024568B" w:rsidRDefault="00317B10" w:rsidP="00317B10">
            <w:pPr>
              <w:spacing w:after="0" w:line="240" w:lineRule="auto"/>
              <w:ind w:right="60"/>
              <w:rPr>
                <w:rFonts w:asciiTheme="minorHAnsi" w:hAnsiTheme="minorHAnsi" w:cstheme="minorHAnsi"/>
                <w:b/>
                <w:bCs/>
                <w:i/>
                <w:iCs/>
                <w:lang w:val="en-US"/>
              </w:rPr>
            </w:pPr>
            <w:r>
              <w:rPr>
                <w:rFonts w:asciiTheme="minorHAnsi" w:hAnsiTheme="minorHAnsi" w:cstheme="minorHAnsi"/>
                <w:b/>
                <w:bCs/>
                <w:i/>
                <w:iCs/>
                <w:lang w:val="en-US"/>
              </w:rPr>
              <w:t>Not applicable</w:t>
            </w:r>
          </w:p>
        </w:tc>
        <w:tc>
          <w:tcPr>
            <w:tcW w:w="2465" w:type="pct"/>
          </w:tcPr>
          <w:p w14:paraId="192F185B" w14:textId="77777777" w:rsidR="00827294" w:rsidRPr="0024568B" w:rsidRDefault="00827294" w:rsidP="00791817">
            <w:pPr>
              <w:spacing w:after="0" w:line="240" w:lineRule="auto"/>
              <w:ind w:right="-613"/>
              <w:rPr>
                <w:rFonts w:asciiTheme="minorHAnsi" w:hAnsiTheme="minorHAnsi" w:cstheme="minorHAnsi"/>
                <w:b/>
                <w:bCs/>
                <w:i/>
                <w:iCs/>
                <w:lang w:val="en-US"/>
              </w:rPr>
            </w:pPr>
          </w:p>
        </w:tc>
      </w:tr>
      <w:tr w:rsidR="00827294" w:rsidRPr="0024568B" w14:paraId="21693E59" w14:textId="77777777" w:rsidTr="00F27D1C">
        <w:trPr>
          <w:cantSplit/>
          <w:trHeight w:val="97"/>
        </w:trPr>
        <w:tc>
          <w:tcPr>
            <w:tcW w:w="1885" w:type="pct"/>
          </w:tcPr>
          <w:p w14:paraId="3F899B6A" w14:textId="77777777" w:rsidR="00827294" w:rsidRPr="0024568B" w:rsidRDefault="00827294" w:rsidP="002E6714">
            <w:pPr>
              <w:tabs>
                <w:tab w:val="left" w:pos="1135"/>
              </w:tabs>
              <w:spacing w:before="0" w:after="0" w:line="240" w:lineRule="auto"/>
              <w:ind w:left="1135" w:hanging="1135"/>
              <w:rPr>
                <w:rFonts w:asciiTheme="minorHAnsi" w:hAnsiTheme="minorHAnsi" w:cstheme="minorHAnsi"/>
              </w:rPr>
            </w:pPr>
            <w:r w:rsidRPr="0024568B">
              <w:rPr>
                <w:rFonts w:asciiTheme="minorHAnsi" w:hAnsiTheme="minorHAnsi" w:cstheme="minorHAnsi"/>
              </w:rPr>
              <w:t>Standard 6</w:t>
            </w:r>
            <w:r w:rsidRPr="0024568B">
              <w:rPr>
                <w:rFonts w:asciiTheme="minorHAnsi" w:hAnsiTheme="minorHAnsi" w:cstheme="minorHAnsi"/>
              </w:rPr>
              <w:tab/>
            </w:r>
          </w:p>
          <w:p w14:paraId="1D1C0295" w14:textId="77777777" w:rsidR="00827294" w:rsidRPr="00DE51BC" w:rsidRDefault="00827294" w:rsidP="002E6714">
            <w:pPr>
              <w:tabs>
                <w:tab w:val="left" w:pos="1135"/>
              </w:tabs>
              <w:spacing w:before="0" w:after="0" w:line="240" w:lineRule="auto"/>
              <w:ind w:left="1135" w:hanging="1135"/>
              <w:rPr>
                <w:rFonts w:asciiTheme="minorHAnsi" w:hAnsiTheme="minorHAnsi" w:cstheme="minorHAnsi"/>
                <w:sz w:val="16"/>
                <w:szCs w:val="16"/>
              </w:rPr>
            </w:pPr>
          </w:p>
          <w:p w14:paraId="569BD622" w14:textId="77777777" w:rsidR="00827294" w:rsidRPr="0024568B" w:rsidRDefault="00827294" w:rsidP="00A00B08">
            <w:pPr>
              <w:tabs>
                <w:tab w:val="left" w:pos="0"/>
              </w:tabs>
              <w:spacing w:before="0" w:after="0" w:line="240" w:lineRule="auto"/>
              <w:rPr>
                <w:rFonts w:asciiTheme="minorHAnsi" w:hAnsiTheme="minorHAnsi" w:cstheme="minorHAnsi"/>
                <w:b/>
              </w:rPr>
            </w:pPr>
            <w:r w:rsidRPr="0024568B">
              <w:rPr>
                <w:rFonts w:asciiTheme="minorHAnsi" w:hAnsiTheme="minorHAnsi" w:cstheme="minorHAnsi"/>
              </w:rPr>
              <w:t>Assessment requirements specify the evidence and required conditions for assessment</w:t>
            </w:r>
          </w:p>
        </w:tc>
        <w:tc>
          <w:tcPr>
            <w:tcW w:w="651" w:type="pct"/>
          </w:tcPr>
          <w:p w14:paraId="3372C58C" w14:textId="5C9D4960" w:rsidR="00827294" w:rsidRPr="0024568B" w:rsidRDefault="00317B10" w:rsidP="00317B10">
            <w:pPr>
              <w:spacing w:before="0" w:after="0" w:line="240" w:lineRule="auto"/>
              <w:ind w:right="60"/>
              <w:rPr>
                <w:rFonts w:asciiTheme="minorHAnsi" w:hAnsiTheme="minorHAnsi" w:cstheme="minorHAnsi"/>
                <w:b/>
                <w:bCs/>
                <w:i/>
                <w:iCs/>
                <w:lang w:val="en-US"/>
              </w:rPr>
            </w:pPr>
            <w:r>
              <w:rPr>
                <w:rFonts w:asciiTheme="minorHAnsi" w:hAnsiTheme="minorHAnsi" w:cstheme="minorHAnsi"/>
                <w:b/>
                <w:bCs/>
                <w:i/>
                <w:iCs/>
                <w:lang w:val="en-US"/>
              </w:rPr>
              <w:t>Not applicable</w:t>
            </w:r>
          </w:p>
        </w:tc>
        <w:tc>
          <w:tcPr>
            <w:tcW w:w="2465" w:type="pct"/>
          </w:tcPr>
          <w:p w14:paraId="5511549D" w14:textId="77777777" w:rsidR="00827294" w:rsidRPr="0024568B" w:rsidRDefault="00827294" w:rsidP="002E6714">
            <w:pPr>
              <w:spacing w:before="0" w:after="0" w:line="240" w:lineRule="auto"/>
              <w:ind w:right="-613"/>
              <w:rPr>
                <w:rFonts w:asciiTheme="minorHAnsi" w:hAnsiTheme="minorHAnsi" w:cstheme="minorHAnsi"/>
                <w:b/>
                <w:bCs/>
                <w:i/>
                <w:iCs/>
                <w:lang w:val="en-US"/>
              </w:rPr>
            </w:pPr>
          </w:p>
        </w:tc>
      </w:tr>
      <w:tr w:rsidR="00827294" w:rsidRPr="0024568B" w14:paraId="0A777273" w14:textId="77777777" w:rsidTr="00F27D1C">
        <w:trPr>
          <w:cantSplit/>
          <w:trHeight w:val="97"/>
        </w:trPr>
        <w:tc>
          <w:tcPr>
            <w:tcW w:w="1885" w:type="pct"/>
          </w:tcPr>
          <w:p w14:paraId="5D89A1DD" w14:textId="77777777" w:rsidR="00827294" w:rsidRPr="0024568B" w:rsidRDefault="00827294" w:rsidP="002E6714">
            <w:pPr>
              <w:tabs>
                <w:tab w:val="left" w:pos="1135"/>
              </w:tabs>
              <w:spacing w:before="0" w:after="0" w:line="240" w:lineRule="auto"/>
              <w:ind w:left="1135" w:hanging="1135"/>
              <w:rPr>
                <w:rFonts w:asciiTheme="minorHAnsi" w:hAnsiTheme="minorHAnsi" w:cstheme="minorHAnsi"/>
              </w:rPr>
            </w:pPr>
            <w:r w:rsidRPr="0024568B">
              <w:rPr>
                <w:rFonts w:asciiTheme="minorHAnsi" w:hAnsiTheme="minorHAnsi" w:cstheme="minorHAnsi"/>
              </w:rPr>
              <w:t>Standard 7</w:t>
            </w:r>
            <w:r w:rsidRPr="0024568B">
              <w:rPr>
                <w:rFonts w:asciiTheme="minorHAnsi" w:hAnsiTheme="minorHAnsi" w:cstheme="minorHAnsi"/>
              </w:rPr>
              <w:tab/>
            </w:r>
          </w:p>
          <w:p w14:paraId="04138AB5" w14:textId="77777777" w:rsidR="00827294" w:rsidRPr="00DE51BC" w:rsidRDefault="00827294" w:rsidP="002E6714">
            <w:pPr>
              <w:tabs>
                <w:tab w:val="left" w:pos="1135"/>
              </w:tabs>
              <w:spacing w:before="0" w:after="0" w:line="240" w:lineRule="auto"/>
              <w:ind w:left="1135" w:hanging="1135"/>
              <w:rPr>
                <w:rFonts w:asciiTheme="minorHAnsi" w:hAnsiTheme="minorHAnsi" w:cstheme="minorHAnsi"/>
                <w:sz w:val="16"/>
                <w:szCs w:val="16"/>
              </w:rPr>
            </w:pPr>
          </w:p>
          <w:p w14:paraId="7CBCF90C" w14:textId="77777777" w:rsidR="00827294" w:rsidRPr="0024568B" w:rsidRDefault="00827294" w:rsidP="00A00B08">
            <w:pPr>
              <w:tabs>
                <w:tab w:val="left" w:pos="0"/>
              </w:tabs>
              <w:spacing w:before="0" w:after="0" w:line="240" w:lineRule="auto"/>
              <w:rPr>
                <w:rFonts w:asciiTheme="minorHAnsi" w:hAnsiTheme="minorHAnsi" w:cstheme="minorHAnsi"/>
                <w:b/>
              </w:rPr>
            </w:pPr>
            <w:r w:rsidRPr="0024568B">
              <w:rPr>
                <w:rFonts w:asciiTheme="minorHAnsi" w:hAnsiTheme="minorHAnsi" w:cstheme="minorHAnsi"/>
              </w:rPr>
              <w:t>Every unit of competency has associated assessment requirements. The structure of assessment requirements complies with the assessment requirements template</w:t>
            </w:r>
          </w:p>
        </w:tc>
        <w:tc>
          <w:tcPr>
            <w:tcW w:w="651" w:type="pct"/>
          </w:tcPr>
          <w:p w14:paraId="78AB4382" w14:textId="331B22DF" w:rsidR="00827294" w:rsidRPr="0024568B" w:rsidRDefault="00317B10" w:rsidP="00317B10">
            <w:pPr>
              <w:spacing w:before="0" w:after="0" w:line="240" w:lineRule="auto"/>
              <w:ind w:right="202"/>
              <w:rPr>
                <w:rFonts w:asciiTheme="minorHAnsi" w:hAnsiTheme="minorHAnsi" w:cstheme="minorHAnsi"/>
                <w:b/>
                <w:bCs/>
                <w:i/>
                <w:iCs/>
                <w:lang w:val="en-US"/>
              </w:rPr>
            </w:pPr>
            <w:r>
              <w:rPr>
                <w:rFonts w:asciiTheme="minorHAnsi" w:hAnsiTheme="minorHAnsi" w:cstheme="minorHAnsi"/>
                <w:b/>
                <w:bCs/>
                <w:i/>
                <w:iCs/>
                <w:lang w:val="en-US"/>
              </w:rPr>
              <w:t>Not applicable</w:t>
            </w:r>
          </w:p>
        </w:tc>
        <w:tc>
          <w:tcPr>
            <w:tcW w:w="2465" w:type="pct"/>
          </w:tcPr>
          <w:p w14:paraId="5D49BFB2" w14:textId="77777777" w:rsidR="00827294" w:rsidRPr="0024568B" w:rsidRDefault="00827294" w:rsidP="002E6714">
            <w:pPr>
              <w:spacing w:before="0" w:after="0" w:line="240" w:lineRule="auto"/>
              <w:ind w:right="-613"/>
              <w:rPr>
                <w:rFonts w:asciiTheme="minorHAnsi" w:hAnsiTheme="minorHAnsi" w:cstheme="minorHAnsi"/>
                <w:b/>
                <w:bCs/>
                <w:i/>
                <w:iCs/>
                <w:lang w:val="en-US"/>
              </w:rPr>
            </w:pPr>
          </w:p>
        </w:tc>
      </w:tr>
      <w:tr w:rsidR="00827294" w:rsidRPr="0024568B" w14:paraId="7F0C9B54" w14:textId="77777777" w:rsidTr="00F27D1C">
        <w:trPr>
          <w:cantSplit/>
          <w:trHeight w:val="97"/>
        </w:trPr>
        <w:tc>
          <w:tcPr>
            <w:tcW w:w="1885" w:type="pct"/>
          </w:tcPr>
          <w:p w14:paraId="236E5EF3" w14:textId="77777777" w:rsidR="00827294" w:rsidRPr="0024568B" w:rsidRDefault="00827294" w:rsidP="002E6714">
            <w:pPr>
              <w:tabs>
                <w:tab w:val="left" w:pos="1135"/>
              </w:tabs>
              <w:spacing w:before="0" w:after="0" w:line="240" w:lineRule="auto"/>
              <w:ind w:left="1135" w:hanging="1135"/>
              <w:rPr>
                <w:rFonts w:asciiTheme="minorHAnsi" w:hAnsiTheme="minorHAnsi" w:cstheme="minorHAnsi"/>
              </w:rPr>
            </w:pPr>
            <w:r w:rsidRPr="0024568B">
              <w:rPr>
                <w:rFonts w:asciiTheme="minorHAnsi" w:hAnsiTheme="minorHAnsi" w:cstheme="minorHAnsi"/>
              </w:rPr>
              <w:lastRenderedPageBreak/>
              <w:t>Standard 8</w:t>
            </w:r>
            <w:r w:rsidRPr="0024568B">
              <w:rPr>
                <w:rFonts w:asciiTheme="minorHAnsi" w:hAnsiTheme="minorHAnsi" w:cstheme="minorHAnsi"/>
              </w:rPr>
              <w:tab/>
            </w:r>
          </w:p>
          <w:p w14:paraId="5C3D5A74" w14:textId="77777777" w:rsidR="00827294" w:rsidRPr="00DE51BC" w:rsidRDefault="00827294" w:rsidP="002E6714">
            <w:pPr>
              <w:tabs>
                <w:tab w:val="left" w:pos="1135"/>
              </w:tabs>
              <w:spacing w:before="0" w:after="0" w:line="240" w:lineRule="auto"/>
              <w:ind w:left="1135" w:hanging="1135"/>
              <w:rPr>
                <w:rFonts w:asciiTheme="minorHAnsi" w:hAnsiTheme="minorHAnsi" w:cstheme="minorHAnsi"/>
                <w:sz w:val="16"/>
                <w:szCs w:val="16"/>
              </w:rPr>
            </w:pPr>
          </w:p>
          <w:p w14:paraId="38C40D9A" w14:textId="77777777" w:rsidR="00827294" w:rsidRPr="0024568B" w:rsidRDefault="00827294" w:rsidP="00AA7EAA">
            <w:pPr>
              <w:tabs>
                <w:tab w:val="left" w:pos="0"/>
              </w:tabs>
              <w:spacing w:before="0" w:after="0" w:line="240" w:lineRule="auto"/>
              <w:rPr>
                <w:rFonts w:asciiTheme="minorHAnsi" w:hAnsiTheme="minorHAnsi" w:cstheme="minorHAnsi"/>
                <w:b/>
              </w:rPr>
            </w:pPr>
            <w:r w:rsidRPr="0024568B">
              <w:rPr>
                <w:rFonts w:asciiTheme="minorHAnsi" w:hAnsiTheme="minorHAnsi" w:cstheme="minorHAnsi"/>
              </w:rPr>
              <w:t>Qualifications comply with the Australian Qualifications Framework specification for that qualification type</w:t>
            </w:r>
          </w:p>
        </w:tc>
        <w:tc>
          <w:tcPr>
            <w:tcW w:w="651" w:type="pct"/>
          </w:tcPr>
          <w:p w14:paraId="544A9147" w14:textId="5E129A41" w:rsidR="00827294" w:rsidRPr="003F071E" w:rsidRDefault="00F50B93" w:rsidP="003F071E">
            <w:pPr>
              <w:pStyle w:val="Table"/>
            </w:pPr>
            <w:r>
              <w:t>Yes</w:t>
            </w:r>
          </w:p>
        </w:tc>
        <w:tc>
          <w:tcPr>
            <w:tcW w:w="2465" w:type="pct"/>
          </w:tcPr>
          <w:p w14:paraId="79C84962" w14:textId="77777777" w:rsidR="00827294" w:rsidRDefault="003F071E" w:rsidP="003F071E">
            <w:pPr>
              <w:pStyle w:val="Table"/>
            </w:pPr>
            <w:r w:rsidRPr="003F071E">
              <w:t>The QA process confirmed qualification packaging rules specify requirements to ensure AQF outcomes for qualifications are met by the specified packaging rules and elective selection</w:t>
            </w:r>
            <w:r>
              <w:t>.</w:t>
            </w:r>
          </w:p>
          <w:p w14:paraId="4BB443CF" w14:textId="76F64FDB" w:rsidR="003F071E" w:rsidRPr="003F071E" w:rsidRDefault="003F071E" w:rsidP="003F071E">
            <w:pPr>
              <w:pStyle w:val="Table"/>
            </w:pPr>
          </w:p>
        </w:tc>
      </w:tr>
      <w:tr w:rsidR="00827294" w:rsidRPr="0024568B" w14:paraId="15F25600" w14:textId="77777777" w:rsidTr="00F27D1C">
        <w:trPr>
          <w:cantSplit/>
          <w:trHeight w:val="97"/>
        </w:trPr>
        <w:tc>
          <w:tcPr>
            <w:tcW w:w="1885" w:type="pct"/>
          </w:tcPr>
          <w:p w14:paraId="21AFE4E5" w14:textId="77777777" w:rsidR="00827294" w:rsidRPr="0024568B" w:rsidRDefault="00827294" w:rsidP="002E6714">
            <w:pPr>
              <w:tabs>
                <w:tab w:val="left" w:pos="1135"/>
              </w:tabs>
              <w:spacing w:before="0" w:after="0" w:line="240" w:lineRule="auto"/>
              <w:ind w:left="1135" w:hanging="1135"/>
              <w:rPr>
                <w:rFonts w:asciiTheme="minorHAnsi" w:hAnsiTheme="minorHAnsi" w:cstheme="minorHAnsi"/>
              </w:rPr>
            </w:pPr>
            <w:r w:rsidRPr="0024568B">
              <w:rPr>
                <w:rFonts w:asciiTheme="minorHAnsi" w:hAnsiTheme="minorHAnsi" w:cstheme="minorHAnsi"/>
              </w:rPr>
              <w:t>Standard 9</w:t>
            </w:r>
            <w:r w:rsidRPr="0024568B">
              <w:rPr>
                <w:rFonts w:asciiTheme="minorHAnsi" w:hAnsiTheme="minorHAnsi" w:cstheme="minorHAnsi"/>
              </w:rPr>
              <w:tab/>
            </w:r>
          </w:p>
          <w:p w14:paraId="73ECF6EF" w14:textId="77777777" w:rsidR="00827294" w:rsidRPr="00DE51BC" w:rsidRDefault="00827294" w:rsidP="002E6714">
            <w:pPr>
              <w:tabs>
                <w:tab w:val="left" w:pos="1135"/>
              </w:tabs>
              <w:spacing w:before="0" w:after="0" w:line="240" w:lineRule="auto"/>
              <w:ind w:left="1135" w:hanging="1135"/>
              <w:rPr>
                <w:rFonts w:asciiTheme="minorHAnsi" w:hAnsiTheme="minorHAnsi" w:cstheme="minorHAnsi"/>
                <w:sz w:val="16"/>
                <w:szCs w:val="16"/>
              </w:rPr>
            </w:pPr>
          </w:p>
          <w:p w14:paraId="64CA358B" w14:textId="35D43598" w:rsidR="00827294" w:rsidRPr="0024568B" w:rsidRDefault="00827294" w:rsidP="008F2E1D">
            <w:pPr>
              <w:tabs>
                <w:tab w:val="left" w:pos="0"/>
              </w:tabs>
              <w:spacing w:before="0" w:after="0" w:line="240" w:lineRule="auto"/>
              <w:rPr>
                <w:rFonts w:asciiTheme="minorHAnsi" w:hAnsiTheme="minorHAnsi" w:cstheme="minorHAnsi"/>
                <w:b/>
              </w:rPr>
            </w:pPr>
            <w:r w:rsidRPr="0024568B">
              <w:rPr>
                <w:rFonts w:asciiTheme="minorHAnsi" w:hAnsiTheme="minorHAnsi" w:cstheme="minorHAnsi"/>
              </w:rPr>
              <w:t xml:space="preserve">The structure of the information for the Australian Qualifications Framework </w:t>
            </w:r>
            <w:r>
              <w:rPr>
                <w:rFonts w:asciiTheme="minorHAnsi" w:hAnsiTheme="minorHAnsi" w:cstheme="minorHAnsi"/>
              </w:rPr>
              <w:t xml:space="preserve">qualification complies with the </w:t>
            </w:r>
            <w:r w:rsidRPr="0024568B">
              <w:rPr>
                <w:rFonts w:asciiTheme="minorHAnsi" w:hAnsiTheme="minorHAnsi" w:cstheme="minorHAnsi"/>
              </w:rPr>
              <w:t>qualification template</w:t>
            </w:r>
          </w:p>
        </w:tc>
        <w:tc>
          <w:tcPr>
            <w:tcW w:w="651" w:type="pct"/>
          </w:tcPr>
          <w:p w14:paraId="3C75061D" w14:textId="32865E07" w:rsidR="00827294" w:rsidRPr="0024568B" w:rsidRDefault="00F50B93" w:rsidP="002E6714">
            <w:pPr>
              <w:spacing w:before="0" w:after="0" w:line="240" w:lineRule="auto"/>
              <w:ind w:right="-613"/>
              <w:rPr>
                <w:rFonts w:asciiTheme="minorHAnsi" w:hAnsiTheme="minorHAnsi" w:cstheme="minorHAnsi"/>
                <w:b/>
                <w:bCs/>
                <w:i/>
                <w:iCs/>
                <w:lang w:val="en-US"/>
              </w:rPr>
            </w:pPr>
            <w:r>
              <w:rPr>
                <w:rFonts w:asciiTheme="minorHAnsi" w:hAnsiTheme="minorHAnsi" w:cstheme="minorHAnsi"/>
                <w:b/>
                <w:bCs/>
                <w:i/>
                <w:iCs/>
                <w:lang w:val="en-US"/>
              </w:rPr>
              <w:t>Yes</w:t>
            </w:r>
          </w:p>
        </w:tc>
        <w:tc>
          <w:tcPr>
            <w:tcW w:w="2465" w:type="pct"/>
          </w:tcPr>
          <w:p w14:paraId="744ADC67" w14:textId="21473165" w:rsidR="00827294" w:rsidRDefault="003F071E" w:rsidP="003F071E">
            <w:pPr>
              <w:pStyle w:val="Table"/>
            </w:pPr>
            <w:r>
              <w:t xml:space="preserve">The QA process has confirmed that the structure of the revised RGR qualifications comply with the qualification template, including prerequisite units for core units previously included as electives in the Certificate IV in Racing (Jockey) being moved to core units to reflect the requirement that </w:t>
            </w:r>
            <w:r w:rsidRPr="003F071E">
              <w:t>they</w:t>
            </w:r>
            <w:r>
              <w:t xml:space="preserve"> are </w:t>
            </w:r>
            <w:r w:rsidR="00215D1D">
              <w:t>mandatory to achieve the qualification</w:t>
            </w:r>
            <w:r>
              <w:t>.</w:t>
            </w:r>
          </w:p>
          <w:p w14:paraId="70786099" w14:textId="1D2374F7" w:rsidR="003F071E" w:rsidRPr="0024568B" w:rsidRDefault="003F071E" w:rsidP="003F071E">
            <w:pPr>
              <w:spacing w:before="0" w:after="0" w:line="240" w:lineRule="auto"/>
              <w:ind w:right="168"/>
              <w:rPr>
                <w:rFonts w:asciiTheme="minorHAnsi" w:hAnsiTheme="minorHAnsi" w:cstheme="minorHAnsi"/>
                <w:b/>
                <w:bCs/>
                <w:i/>
                <w:iCs/>
                <w:lang w:val="en-US"/>
              </w:rPr>
            </w:pPr>
          </w:p>
        </w:tc>
      </w:tr>
      <w:tr w:rsidR="00827294" w:rsidRPr="0024568B" w14:paraId="14E175FA" w14:textId="77777777" w:rsidTr="00F27D1C">
        <w:trPr>
          <w:cantSplit/>
          <w:trHeight w:val="97"/>
        </w:trPr>
        <w:tc>
          <w:tcPr>
            <w:tcW w:w="1885" w:type="pct"/>
          </w:tcPr>
          <w:p w14:paraId="0CD9EDF5" w14:textId="77777777" w:rsidR="00827294" w:rsidRPr="0024568B" w:rsidRDefault="00827294" w:rsidP="002E6714">
            <w:pPr>
              <w:tabs>
                <w:tab w:val="left" w:pos="1135"/>
              </w:tabs>
              <w:spacing w:before="0" w:after="0" w:line="240" w:lineRule="auto"/>
              <w:ind w:left="1135" w:hanging="1135"/>
              <w:rPr>
                <w:rFonts w:asciiTheme="minorHAnsi" w:hAnsiTheme="minorHAnsi" w:cstheme="minorHAnsi"/>
              </w:rPr>
            </w:pPr>
            <w:r w:rsidRPr="0024568B">
              <w:rPr>
                <w:rFonts w:asciiTheme="minorHAnsi" w:hAnsiTheme="minorHAnsi" w:cstheme="minorHAnsi"/>
              </w:rPr>
              <w:t xml:space="preserve">Standard 10 </w:t>
            </w:r>
            <w:r w:rsidRPr="0024568B">
              <w:rPr>
                <w:rFonts w:asciiTheme="minorHAnsi" w:hAnsiTheme="minorHAnsi" w:cstheme="minorHAnsi"/>
              </w:rPr>
              <w:tab/>
            </w:r>
          </w:p>
          <w:p w14:paraId="1F8A8D13" w14:textId="77777777" w:rsidR="00827294" w:rsidRPr="00900DE6" w:rsidRDefault="00827294" w:rsidP="002E6714">
            <w:pPr>
              <w:tabs>
                <w:tab w:val="left" w:pos="1135"/>
              </w:tabs>
              <w:spacing w:before="0" w:after="0" w:line="240" w:lineRule="auto"/>
              <w:ind w:left="1135" w:hanging="1135"/>
              <w:rPr>
                <w:rFonts w:asciiTheme="minorHAnsi" w:hAnsiTheme="minorHAnsi" w:cstheme="minorHAnsi"/>
                <w:sz w:val="16"/>
                <w:szCs w:val="16"/>
              </w:rPr>
            </w:pPr>
          </w:p>
          <w:p w14:paraId="2152C6CE" w14:textId="77777777" w:rsidR="00827294" w:rsidRPr="0024568B" w:rsidRDefault="00827294" w:rsidP="001A5881">
            <w:pPr>
              <w:tabs>
                <w:tab w:val="left" w:pos="0"/>
              </w:tabs>
              <w:spacing w:before="0" w:after="0" w:line="240" w:lineRule="auto"/>
              <w:rPr>
                <w:rFonts w:asciiTheme="minorHAnsi" w:hAnsiTheme="minorHAnsi" w:cstheme="minorHAnsi"/>
                <w:b/>
              </w:rPr>
            </w:pPr>
            <w:r w:rsidRPr="0024568B">
              <w:rPr>
                <w:rFonts w:asciiTheme="minorHAnsi" w:hAnsiTheme="minorHAnsi" w:cstheme="minorHAnsi"/>
              </w:rPr>
              <w:t>Credit arrangements existing between Training Package qualifications and Higher Education qualifications are listed in a format that complies with the credit arrangements template</w:t>
            </w:r>
          </w:p>
        </w:tc>
        <w:tc>
          <w:tcPr>
            <w:tcW w:w="651" w:type="pct"/>
          </w:tcPr>
          <w:p w14:paraId="7FA18973" w14:textId="6A7D7016" w:rsidR="00827294" w:rsidRPr="0024568B" w:rsidRDefault="00F50B93" w:rsidP="002E6714">
            <w:pPr>
              <w:spacing w:before="0" w:after="0" w:line="240" w:lineRule="auto"/>
              <w:ind w:right="-613"/>
              <w:rPr>
                <w:rFonts w:asciiTheme="minorHAnsi" w:hAnsiTheme="minorHAnsi" w:cstheme="minorHAnsi"/>
                <w:b/>
                <w:bCs/>
                <w:i/>
                <w:iCs/>
                <w:lang w:val="en-US"/>
              </w:rPr>
            </w:pPr>
            <w:r>
              <w:rPr>
                <w:rFonts w:asciiTheme="minorHAnsi" w:hAnsiTheme="minorHAnsi" w:cstheme="minorHAnsi"/>
                <w:b/>
                <w:bCs/>
                <w:i/>
                <w:iCs/>
                <w:lang w:val="en-US"/>
              </w:rPr>
              <w:t>Yes</w:t>
            </w:r>
          </w:p>
        </w:tc>
        <w:tc>
          <w:tcPr>
            <w:tcW w:w="2465" w:type="pct"/>
          </w:tcPr>
          <w:p w14:paraId="6E20EE3C" w14:textId="77777777" w:rsidR="008D214F" w:rsidRDefault="008D214F" w:rsidP="008D214F">
            <w:pPr>
              <w:pStyle w:val="Table"/>
            </w:pPr>
            <w:r w:rsidRPr="008D214F">
              <w:t>No national credit arrangements exist for the revised qualifications. Page seven of the CVIG confirms that</w:t>
            </w:r>
            <w:r>
              <w:t>:</w:t>
            </w:r>
          </w:p>
          <w:p w14:paraId="7322FEF4" w14:textId="767B2AAC" w:rsidR="00827294" w:rsidRPr="008D214F" w:rsidRDefault="008D214F" w:rsidP="008D214F">
            <w:pPr>
              <w:pStyle w:val="Table"/>
            </w:pPr>
            <w:r w:rsidRPr="008D214F">
              <w:t>‘</w:t>
            </w:r>
            <w:r w:rsidRPr="00F50B93">
              <w:rPr>
                <w:i/>
                <w:iCs/>
              </w:rPr>
              <w:t>There are currently no nationally applicable credit arrangements between any Skills Impact training package qualification and higher education qualification’</w:t>
            </w:r>
            <w:r w:rsidRPr="008D214F">
              <w:t xml:space="preserve">. </w:t>
            </w:r>
          </w:p>
        </w:tc>
      </w:tr>
      <w:tr w:rsidR="00827294" w:rsidRPr="0024568B" w14:paraId="49FE3D15" w14:textId="77777777" w:rsidTr="00F27D1C">
        <w:trPr>
          <w:cantSplit/>
          <w:trHeight w:val="97"/>
        </w:trPr>
        <w:tc>
          <w:tcPr>
            <w:tcW w:w="1885" w:type="pct"/>
          </w:tcPr>
          <w:p w14:paraId="2877C2E6" w14:textId="24A5B70C" w:rsidR="00827294" w:rsidRPr="0024568B" w:rsidRDefault="00827294" w:rsidP="001A5881">
            <w:pPr>
              <w:tabs>
                <w:tab w:val="left" w:pos="1135"/>
              </w:tabs>
              <w:spacing w:before="0" w:after="0" w:line="240" w:lineRule="auto"/>
              <w:ind w:left="1135" w:hanging="1135"/>
              <w:rPr>
                <w:rFonts w:asciiTheme="minorHAnsi" w:hAnsiTheme="minorHAnsi" w:cstheme="minorHAnsi"/>
              </w:rPr>
            </w:pPr>
            <w:r w:rsidRPr="0024568B">
              <w:rPr>
                <w:rFonts w:asciiTheme="minorHAnsi" w:hAnsiTheme="minorHAnsi" w:cstheme="minorHAnsi"/>
              </w:rPr>
              <w:t>Standard 11</w:t>
            </w:r>
            <w:r w:rsidRPr="0024568B">
              <w:rPr>
                <w:rFonts w:asciiTheme="minorHAnsi" w:hAnsiTheme="minorHAnsi" w:cstheme="minorHAnsi"/>
              </w:rPr>
              <w:tab/>
            </w:r>
          </w:p>
          <w:p w14:paraId="157CCB8C" w14:textId="77777777" w:rsidR="00827294" w:rsidRPr="00900DE6" w:rsidRDefault="00827294" w:rsidP="001A5881">
            <w:pPr>
              <w:tabs>
                <w:tab w:val="left" w:pos="1135"/>
              </w:tabs>
              <w:spacing w:before="0" w:after="0" w:line="240" w:lineRule="auto"/>
              <w:ind w:left="1135" w:hanging="1135"/>
              <w:rPr>
                <w:rFonts w:asciiTheme="minorHAnsi" w:hAnsiTheme="minorHAnsi" w:cstheme="minorHAnsi"/>
                <w:sz w:val="16"/>
                <w:szCs w:val="16"/>
              </w:rPr>
            </w:pPr>
          </w:p>
          <w:p w14:paraId="6F99731A" w14:textId="6BCC0BBC" w:rsidR="00827294" w:rsidRPr="0024568B" w:rsidRDefault="008252AD" w:rsidP="004C45F5">
            <w:pPr>
              <w:tabs>
                <w:tab w:val="left" w:pos="0"/>
              </w:tabs>
              <w:spacing w:before="0" w:after="0" w:line="240" w:lineRule="auto"/>
              <w:rPr>
                <w:rFonts w:asciiTheme="minorHAnsi" w:hAnsiTheme="minorHAnsi" w:cstheme="minorHAnsi"/>
                <w:b/>
              </w:rPr>
            </w:pPr>
            <w:r w:rsidRPr="008252AD">
              <w:rPr>
                <w:rFonts w:asciiTheme="minorHAnsi" w:hAnsiTheme="minorHAnsi" w:cstheme="minorHAnsi"/>
              </w:rPr>
              <w:t>A quality assured companion volume implementation guide produced by the Training Package developer is available at the time of endorsement and complies with the companion volume implementation guide template.</w:t>
            </w:r>
          </w:p>
        </w:tc>
        <w:tc>
          <w:tcPr>
            <w:tcW w:w="651" w:type="pct"/>
          </w:tcPr>
          <w:p w14:paraId="6CE1A3F4" w14:textId="35CA729E" w:rsidR="00827294" w:rsidRPr="0024568B" w:rsidRDefault="00F50B93" w:rsidP="001A5881">
            <w:pPr>
              <w:spacing w:before="0" w:after="0" w:line="240" w:lineRule="auto"/>
              <w:ind w:right="-613"/>
              <w:rPr>
                <w:rFonts w:asciiTheme="minorHAnsi" w:hAnsiTheme="minorHAnsi" w:cstheme="minorHAnsi"/>
                <w:b/>
                <w:bCs/>
                <w:i/>
                <w:iCs/>
                <w:lang w:val="en-US"/>
              </w:rPr>
            </w:pPr>
            <w:r>
              <w:rPr>
                <w:rFonts w:asciiTheme="minorHAnsi" w:hAnsiTheme="minorHAnsi" w:cstheme="minorHAnsi"/>
                <w:b/>
                <w:bCs/>
                <w:i/>
                <w:iCs/>
                <w:lang w:val="en-US"/>
              </w:rPr>
              <w:t>Yes</w:t>
            </w:r>
          </w:p>
        </w:tc>
        <w:tc>
          <w:tcPr>
            <w:tcW w:w="2465" w:type="pct"/>
          </w:tcPr>
          <w:p w14:paraId="1F0268DE" w14:textId="4FE22E01" w:rsidR="008D214F" w:rsidRDefault="008D214F" w:rsidP="008D214F">
            <w:pPr>
              <w:pStyle w:val="Table"/>
            </w:pPr>
            <w:r w:rsidRPr="00EE4A73">
              <w:t>T</w:t>
            </w:r>
            <w:r>
              <w:t>he Editorial Report confirms that:</w:t>
            </w:r>
          </w:p>
          <w:p w14:paraId="330BB8E7" w14:textId="77777777" w:rsidR="008D214F" w:rsidRDefault="008D214F" w:rsidP="008D214F">
            <w:pPr>
              <w:pStyle w:val="Table"/>
            </w:pPr>
          </w:p>
          <w:p w14:paraId="0501031E" w14:textId="0F57B1EB" w:rsidR="008D214F" w:rsidRDefault="008D214F" w:rsidP="008D214F">
            <w:pPr>
              <w:pStyle w:val="Table"/>
            </w:pPr>
            <w:r>
              <w:t>‘t</w:t>
            </w:r>
            <w:r w:rsidRPr="00EE4A73">
              <w:t>he Training Package components in this submission are accompanied by the</w:t>
            </w:r>
            <w:r w:rsidRPr="00EE4A73">
              <w:rPr>
                <w:b/>
              </w:rPr>
              <w:t xml:space="preserve"> </w:t>
            </w:r>
            <w:r>
              <w:rPr>
                <w:bCs/>
              </w:rPr>
              <w:t>RGR V4</w:t>
            </w:r>
            <w:r>
              <w:t xml:space="preserve">.0 </w:t>
            </w:r>
            <w:r w:rsidRPr="002B21BB">
              <w:t>CVIG</w:t>
            </w:r>
            <w:r>
              <w:t>,</w:t>
            </w:r>
            <w:r w:rsidRPr="002B21BB">
              <w:t xml:space="preserve"> which has been updated to include the units </w:t>
            </w:r>
            <w:r>
              <w:t xml:space="preserve">[sic] </w:t>
            </w:r>
            <w:r w:rsidRPr="002B21BB">
              <w:t>in this submission.</w:t>
            </w:r>
            <w:r>
              <w:rPr>
                <w:b/>
              </w:rPr>
              <w:t xml:space="preserve">  </w:t>
            </w:r>
            <w:r w:rsidRPr="00EE4A73">
              <w:t>The CVIG complies with the companion volume implementation guide template included in the 2012 Standards</w:t>
            </w:r>
            <w:r>
              <w:t>’.</w:t>
            </w:r>
          </w:p>
          <w:p w14:paraId="063DE3C5" w14:textId="77777777" w:rsidR="008D214F" w:rsidRDefault="008D214F" w:rsidP="008D214F">
            <w:pPr>
              <w:pStyle w:val="Table"/>
            </w:pPr>
          </w:p>
          <w:p w14:paraId="39F265BF" w14:textId="4074DA99" w:rsidR="008D214F" w:rsidRDefault="008D214F" w:rsidP="008D214F">
            <w:pPr>
              <w:pStyle w:val="Table"/>
            </w:pPr>
            <w:r>
              <w:t xml:space="preserve">The CVIG was reviewed and </w:t>
            </w:r>
            <w:r w:rsidR="001825B5">
              <w:t>q</w:t>
            </w:r>
            <w:r>
              <w:t xml:space="preserve">uality </w:t>
            </w:r>
            <w:r w:rsidR="001825B5">
              <w:t>a</w:t>
            </w:r>
            <w:r>
              <w:t>ssured in this process, with edits and amendments recommended adopted by the developer.</w:t>
            </w:r>
          </w:p>
          <w:p w14:paraId="275BBD0E" w14:textId="77777777" w:rsidR="00827294" w:rsidRPr="008D214F" w:rsidRDefault="00827294" w:rsidP="008D214F">
            <w:pPr>
              <w:pStyle w:val="Table"/>
            </w:pPr>
          </w:p>
        </w:tc>
      </w:tr>
      <w:tr w:rsidR="0073424B" w:rsidRPr="0024568B" w14:paraId="78D9C19B" w14:textId="77777777" w:rsidTr="00F27D1C">
        <w:trPr>
          <w:cantSplit/>
          <w:trHeight w:val="97"/>
        </w:trPr>
        <w:tc>
          <w:tcPr>
            <w:tcW w:w="1885" w:type="pct"/>
          </w:tcPr>
          <w:p w14:paraId="0E508883" w14:textId="77777777" w:rsidR="0073424B" w:rsidRDefault="0073424B" w:rsidP="001A5881">
            <w:pPr>
              <w:tabs>
                <w:tab w:val="left" w:pos="1135"/>
              </w:tabs>
              <w:spacing w:before="0" w:after="0" w:line="240" w:lineRule="auto"/>
              <w:ind w:left="1135" w:hanging="1135"/>
              <w:rPr>
                <w:rFonts w:asciiTheme="minorHAnsi" w:hAnsiTheme="minorHAnsi" w:cstheme="minorHAnsi"/>
              </w:rPr>
            </w:pPr>
            <w:r>
              <w:rPr>
                <w:rFonts w:asciiTheme="minorHAnsi" w:hAnsiTheme="minorHAnsi" w:cstheme="minorHAnsi"/>
              </w:rPr>
              <w:t>Standard 12</w:t>
            </w:r>
          </w:p>
          <w:p w14:paraId="4FF8490B" w14:textId="77777777" w:rsidR="0073424B" w:rsidRDefault="0073424B" w:rsidP="001A5881">
            <w:pPr>
              <w:tabs>
                <w:tab w:val="left" w:pos="1135"/>
              </w:tabs>
              <w:spacing w:before="0" w:after="0" w:line="240" w:lineRule="auto"/>
              <w:ind w:left="1135" w:hanging="1135"/>
              <w:rPr>
                <w:rFonts w:asciiTheme="minorHAnsi" w:hAnsiTheme="minorHAnsi" w:cstheme="minorHAnsi"/>
              </w:rPr>
            </w:pPr>
          </w:p>
          <w:p w14:paraId="4835D0EC" w14:textId="1791A971" w:rsidR="0073424B" w:rsidRPr="0024568B" w:rsidRDefault="008252AD" w:rsidP="008252AD">
            <w:pPr>
              <w:tabs>
                <w:tab w:val="left" w:pos="0"/>
              </w:tabs>
              <w:spacing w:before="0" w:after="0" w:line="240" w:lineRule="auto"/>
              <w:ind w:left="22" w:hanging="22"/>
              <w:rPr>
                <w:rFonts w:asciiTheme="minorHAnsi" w:hAnsiTheme="minorHAnsi" w:cstheme="minorHAnsi"/>
              </w:rPr>
            </w:pPr>
            <w:r w:rsidRPr="008252AD">
              <w:rPr>
                <w:rFonts w:asciiTheme="minorHAnsi" w:hAnsiTheme="minorHAnsi" w:cstheme="minorHAnsi"/>
              </w:rPr>
              <w:t>Trai</w:t>
            </w:r>
            <w:r>
              <w:rPr>
                <w:rFonts w:asciiTheme="minorHAnsi" w:hAnsiTheme="minorHAnsi" w:cstheme="minorHAnsi"/>
              </w:rPr>
              <w:t xml:space="preserve">ning Package developers produce </w:t>
            </w:r>
            <w:r w:rsidRPr="008252AD">
              <w:rPr>
                <w:rFonts w:asciiTheme="minorHAnsi" w:hAnsiTheme="minorHAnsi" w:cstheme="minorHAnsi"/>
              </w:rPr>
              <w:t>other quality assured companion volumes to meet the needs of their stakeholders as required.</w:t>
            </w:r>
          </w:p>
        </w:tc>
        <w:tc>
          <w:tcPr>
            <w:tcW w:w="651" w:type="pct"/>
          </w:tcPr>
          <w:p w14:paraId="539CD044" w14:textId="01CD08AF" w:rsidR="0073424B" w:rsidRPr="0024568B" w:rsidRDefault="008D214F" w:rsidP="008D214F">
            <w:pPr>
              <w:spacing w:before="0" w:after="0" w:line="240" w:lineRule="auto"/>
              <w:rPr>
                <w:rFonts w:asciiTheme="minorHAnsi" w:hAnsiTheme="minorHAnsi" w:cstheme="minorHAnsi"/>
                <w:b/>
                <w:bCs/>
                <w:i/>
                <w:iCs/>
                <w:lang w:val="en-US"/>
              </w:rPr>
            </w:pPr>
            <w:r>
              <w:rPr>
                <w:rFonts w:asciiTheme="minorHAnsi" w:hAnsiTheme="minorHAnsi" w:cstheme="minorHAnsi"/>
                <w:b/>
                <w:bCs/>
                <w:i/>
                <w:iCs/>
                <w:lang w:val="en-US"/>
              </w:rPr>
              <w:t>Not applicable</w:t>
            </w:r>
          </w:p>
        </w:tc>
        <w:tc>
          <w:tcPr>
            <w:tcW w:w="2465" w:type="pct"/>
          </w:tcPr>
          <w:p w14:paraId="41EE9513" w14:textId="77777777" w:rsidR="0073424B" w:rsidRPr="0024568B" w:rsidRDefault="0073424B" w:rsidP="001A5881">
            <w:pPr>
              <w:spacing w:before="0" w:after="0" w:line="240" w:lineRule="auto"/>
              <w:ind w:right="-613"/>
              <w:rPr>
                <w:rFonts w:asciiTheme="minorHAnsi" w:hAnsiTheme="minorHAnsi" w:cstheme="minorHAnsi"/>
                <w:b/>
                <w:bCs/>
                <w:i/>
                <w:iCs/>
                <w:lang w:val="en-US"/>
              </w:rPr>
            </w:pPr>
          </w:p>
        </w:tc>
      </w:tr>
    </w:tbl>
    <w:p w14:paraId="58481D4D" w14:textId="77777777" w:rsidR="005B1553" w:rsidRDefault="005B1553" w:rsidP="004354C9">
      <w:pPr>
        <w:rPr>
          <w:color w:val="1B75BC" w:themeColor="text2"/>
          <w:sz w:val="24"/>
          <w:szCs w:val="24"/>
        </w:rPr>
      </w:pPr>
    </w:p>
    <w:p w14:paraId="61990A7B" w14:textId="77777777" w:rsidR="005B1553" w:rsidRDefault="005B1553" w:rsidP="005B1553">
      <w:r>
        <w:br w:type="page"/>
      </w:r>
    </w:p>
    <w:p w14:paraId="47340605" w14:textId="6BF23668" w:rsidR="0050628A" w:rsidRPr="00CC1D77" w:rsidRDefault="002117CF" w:rsidP="004E6D50">
      <w:pPr>
        <w:pStyle w:val="Heading1"/>
        <w:rPr>
          <w:rFonts w:asciiTheme="minorHAnsi" w:hAnsiTheme="minorHAnsi" w:cstheme="minorHAnsi"/>
          <w:sz w:val="26"/>
          <w:szCs w:val="26"/>
        </w:rPr>
      </w:pPr>
      <w:r w:rsidRPr="00CC1D77">
        <w:rPr>
          <w:rFonts w:asciiTheme="minorHAnsi" w:hAnsiTheme="minorHAnsi" w:cstheme="minorHAnsi"/>
          <w:sz w:val="26"/>
          <w:szCs w:val="26"/>
        </w:rPr>
        <w:lastRenderedPageBreak/>
        <w:t>Section 3 –</w:t>
      </w:r>
      <w:r w:rsidR="004A1C6B">
        <w:rPr>
          <w:rFonts w:asciiTheme="minorHAnsi" w:hAnsiTheme="minorHAnsi" w:cstheme="minorHAnsi"/>
          <w:sz w:val="26"/>
          <w:szCs w:val="26"/>
        </w:rPr>
        <w:t xml:space="preserve"> C</w:t>
      </w:r>
      <w:r w:rsidR="00BA2BE2" w:rsidRPr="00CC1D77">
        <w:rPr>
          <w:rFonts w:asciiTheme="minorHAnsi" w:hAnsiTheme="minorHAnsi" w:cstheme="minorHAnsi"/>
          <w:sz w:val="26"/>
          <w:szCs w:val="26"/>
        </w:rPr>
        <w:t>ompliance with</w:t>
      </w:r>
      <w:r w:rsidRPr="00CC1D77">
        <w:rPr>
          <w:rFonts w:asciiTheme="minorHAnsi" w:hAnsiTheme="minorHAnsi" w:cstheme="minorHAnsi"/>
          <w:sz w:val="26"/>
          <w:szCs w:val="26"/>
        </w:rPr>
        <w:t xml:space="preserve"> the </w:t>
      </w:r>
      <w:r w:rsidR="00BA2BE2" w:rsidRPr="00CC1D77">
        <w:rPr>
          <w:rFonts w:asciiTheme="minorHAnsi" w:hAnsiTheme="minorHAnsi" w:cstheme="minorHAnsi"/>
          <w:sz w:val="26"/>
          <w:szCs w:val="26"/>
        </w:rPr>
        <w:t xml:space="preserve">training package </w:t>
      </w:r>
      <w:r w:rsidRPr="00CC1D77">
        <w:rPr>
          <w:rFonts w:asciiTheme="minorHAnsi" w:hAnsiTheme="minorHAnsi" w:cstheme="minorHAnsi"/>
          <w:sz w:val="26"/>
          <w:szCs w:val="26"/>
        </w:rPr>
        <w:t>quality principles</w:t>
      </w:r>
    </w:p>
    <w:p w14:paraId="31D7D8E4" w14:textId="77777777" w:rsidR="003C25AC" w:rsidRPr="00900DE6" w:rsidRDefault="003C25AC" w:rsidP="003C25AC">
      <w:pPr>
        <w:spacing w:before="0" w:after="0" w:line="240" w:lineRule="auto"/>
        <w:rPr>
          <w:rFonts w:asciiTheme="minorHAnsi" w:hAnsiTheme="minorHAnsi" w:cstheme="minorHAnsi"/>
        </w:rPr>
      </w:pPr>
    </w:p>
    <w:p w14:paraId="18427AA3" w14:textId="7B5712CF" w:rsidR="00B117CE" w:rsidRPr="00DA5ABA" w:rsidRDefault="003C25AC" w:rsidP="003C25AC">
      <w:pPr>
        <w:spacing w:before="0" w:after="0" w:line="240" w:lineRule="auto"/>
        <w:rPr>
          <w:sz w:val="20"/>
          <w:szCs w:val="20"/>
        </w:rPr>
      </w:pPr>
      <w:r w:rsidRPr="00DA5ABA">
        <w:rPr>
          <w:sz w:val="20"/>
          <w:szCs w:val="20"/>
        </w:rPr>
        <w:t xml:space="preserve">Note: </w:t>
      </w:r>
      <w:r w:rsidRPr="00DA5ABA">
        <w:rPr>
          <w:i/>
          <w:sz w:val="20"/>
          <w:szCs w:val="20"/>
        </w:rPr>
        <w:t>not all training package</w:t>
      </w:r>
      <w:r w:rsidR="004A1C6B" w:rsidRPr="00DA5ABA">
        <w:rPr>
          <w:i/>
          <w:sz w:val="20"/>
          <w:szCs w:val="20"/>
        </w:rPr>
        <w:t xml:space="preserve"> quality</w:t>
      </w:r>
      <w:r w:rsidRPr="00DA5ABA">
        <w:rPr>
          <w:i/>
          <w:sz w:val="20"/>
          <w:szCs w:val="20"/>
        </w:rPr>
        <w:t xml:space="preserve"> principles </w:t>
      </w:r>
      <w:r w:rsidR="00140989" w:rsidRPr="00DA5ABA">
        <w:rPr>
          <w:i/>
          <w:sz w:val="20"/>
          <w:szCs w:val="20"/>
        </w:rPr>
        <w:t>might be applicable to every</w:t>
      </w:r>
      <w:r w:rsidRPr="00DA5ABA">
        <w:rPr>
          <w:i/>
          <w:sz w:val="20"/>
          <w:szCs w:val="20"/>
        </w:rPr>
        <w:t xml:space="preserve"> training </w:t>
      </w:r>
      <w:r w:rsidR="00847DC1" w:rsidRPr="00DA5ABA">
        <w:rPr>
          <w:i/>
          <w:sz w:val="20"/>
          <w:szCs w:val="20"/>
        </w:rPr>
        <w:t>package or its components</w:t>
      </w:r>
      <w:r w:rsidRPr="00DA5ABA">
        <w:rPr>
          <w:i/>
          <w:sz w:val="20"/>
          <w:szCs w:val="20"/>
        </w:rPr>
        <w:t xml:space="preserve">. </w:t>
      </w:r>
      <w:r w:rsidR="00B117CE" w:rsidRPr="00DA5ABA">
        <w:rPr>
          <w:i/>
          <w:sz w:val="20"/>
          <w:szCs w:val="20"/>
        </w:rPr>
        <w:t xml:space="preserve">Please provide </w:t>
      </w:r>
      <w:r w:rsidR="005B01E2" w:rsidRPr="00DA5ABA">
        <w:rPr>
          <w:i/>
          <w:sz w:val="20"/>
          <w:szCs w:val="20"/>
        </w:rPr>
        <w:t xml:space="preserve">a </w:t>
      </w:r>
      <w:r w:rsidR="00DA5ABA" w:rsidRPr="00DA5ABA">
        <w:rPr>
          <w:i/>
          <w:sz w:val="20"/>
          <w:szCs w:val="20"/>
        </w:rPr>
        <w:t xml:space="preserve">supporting </w:t>
      </w:r>
      <w:r w:rsidR="005B01E2" w:rsidRPr="00DA5ABA">
        <w:rPr>
          <w:i/>
          <w:sz w:val="20"/>
          <w:szCs w:val="20"/>
        </w:rPr>
        <w:t>statement</w:t>
      </w:r>
      <w:r w:rsidR="00DA5ABA" w:rsidRPr="00DA5ABA">
        <w:rPr>
          <w:i/>
          <w:sz w:val="20"/>
          <w:szCs w:val="20"/>
        </w:rPr>
        <w:t>/evidence</w:t>
      </w:r>
      <w:r w:rsidR="005B01E2" w:rsidRPr="00DA5ABA">
        <w:rPr>
          <w:i/>
          <w:sz w:val="20"/>
          <w:szCs w:val="20"/>
        </w:rPr>
        <w:t xml:space="preserve"> </w:t>
      </w:r>
      <w:r w:rsidR="00DA5ABA" w:rsidRPr="00DA5ABA">
        <w:rPr>
          <w:i/>
          <w:sz w:val="20"/>
          <w:szCs w:val="20"/>
        </w:rPr>
        <w:t xml:space="preserve">of compliance or non-compliance </w:t>
      </w:r>
      <w:r w:rsidR="00B01E4B" w:rsidRPr="00DA5ABA">
        <w:rPr>
          <w:i/>
          <w:sz w:val="20"/>
          <w:szCs w:val="20"/>
        </w:rPr>
        <w:t xml:space="preserve">against </w:t>
      </w:r>
      <w:r w:rsidR="00DA5ABA" w:rsidRPr="00DA5ABA">
        <w:rPr>
          <w:i/>
          <w:sz w:val="20"/>
          <w:szCs w:val="20"/>
        </w:rPr>
        <w:t>each principle</w:t>
      </w:r>
      <w:r w:rsidR="00B117CE" w:rsidRPr="00DA5ABA">
        <w:rPr>
          <w:i/>
          <w:sz w:val="20"/>
          <w:szCs w:val="20"/>
        </w:rPr>
        <w:t>.</w:t>
      </w:r>
    </w:p>
    <w:p w14:paraId="49677084" w14:textId="77777777" w:rsidR="00F16190" w:rsidRDefault="00F16190" w:rsidP="003C25AC">
      <w:pPr>
        <w:spacing w:before="0" w:after="0" w:line="240" w:lineRule="auto"/>
      </w:pPr>
    </w:p>
    <w:p w14:paraId="205465BA" w14:textId="7315D677" w:rsidR="00F16190" w:rsidRPr="00E21128" w:rsidRDefault="00713F5F" w:rsidP="003C25AC">
      <w:pPr>
        <w:spacing w:before="0" w:after="0" w:line="240" w:lineRule="auto"/>
        <w:rPr>
          <w:b/>
          <w:sz w:val="24"/>
          <w:szCs w:val="24"/>
        </w:rPr>
      </w:pPr>
      <w:r w:rsidRPr="00E21128">
        <w:rPr>
          <w:b/>
          <w:sz w:val="24"/>
          <w:szCs w:val="24"/>
        </w:rPr>
        <w:t xml:space="preserve">Quality principle </w:t>
      </w:r>
      <w:r w:rsidR="00F16190" w:rsidRPr="00E21128">
        <w:rPr>
          <w:b/>
          <w:sz w:val="24"/>
          <w:szCs w:val="24"/>
        </w:rPr>
        <w:t>1. Reflect identified workforce outcomes</w:t>
      </w:r>
    </w:p>
    <w:tbl>
      <w:tblPr>
        <w:tblStyle w:val="LightList-Accent11"/>
        <w:tblW w:w="5307" w:type="pct"/>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CellMar>
          <w:top w:w="113" w:type="dxa"/>
          <w:left w:w="113" w:type="dxa"/>
          <w:bottom w:w="113" w:type="dxa"/>
          <w:right w:w="113" w:type="dxa"/>
        </w:tblCellMar>
        <w:tblLook w:val="0600" w:firstRow="0" w:lastRow="0" w:firstColumn="0" w:lastColumn="0" w:noHBand="1" w:noVBand="1"/>
      </w:tblPr>
      <w:tblGrid>
        <w:gridCol w:w="3007"/>
        <w:gridCol w:w="1099"/>
        <w:gridCol w:w="5812"/>
      </w:tblGrid>
      <w:tr w:rsidR="00713F5F" w:rsidRPr="000E1F17" w14:paraId="6CE2359A" w14:textId="77777777" w:rsidTr="008F0858">
        <w:trPr>
          <w:trHeight w:val="1316"/>
        </w:trPr>
        <w:tc>
          <w:tcPr>
            <w:tcW w:w="1516" w:type="pct"/>
            <w:tcBorders>
              <w:top w:val="single" w:sz="4" w:space="0" w:color="auto"/>
              <w:left w:val="single" w:sz="4" w:space="0" w:color="auto"/>
              <w:bottom w:val="single" w:sz="4" w:space="0" w:color="auto"/>
              <w:right w:val="single" w:sz="4" w:space="0" w:color="auto"/>
            </w:tcBorders>
            <w:shd w:val="clear" w:color="auto" w:fill="1B75BC" w:themeFill="text2"/>
          </w:tcPr>
          <w:p w14:paraId="0B0AAB2E" w14:textId="2E9C82DC" w:rsidR="00713F5F" w:rsidRPr="000E1F17" w:rsidRDefault="00713F5F" w:rsidP="000E1F17">
            <w:pPr>
              <w:pStyle w:val="Table"/>
              <w:rPr>
                <w:color w:val="FFFFFF" w:themeColor="background1"/>
              </w:rPr>
            </w:pPr>
            <w:r w:rsidRPr="000E1F17">
              <w:rPr>
                <w:color w:val="FFFFFF" w:themeColor="background1"/>
              </w:rPr>
              <w:t>Key features</w:t>
            </w:r>
          </w:p>
        </w:tc>
        <w:tc>
          <w:tcPr>
            <w:tcW w:w="554" w:type="pct"/>
            <w:tcBorders>
              <w:top w:val="single" w:sz="4" w:space="0" w:color="auto"/>
              <w:left w:val="single" w:sz="4" w:space="0" w:color="auto"/>
              <w:bottom w:val="single" w:sz="4" w:space="0" w:color="auto"/>
              <w:right w:val="single" w:sz="4" w:space="0" w:color="auto"/>
            </w:tcBorders>
            <w:shd w:val="clear" w:color="auto" w:fill="1B75BC" w:themeFill="text2"/>
          </w:tcPr>
          <w:p w14:paraId="3355C280" w14:textId="55A7BAFA" w:rsidR="00713F5F" w:rsidRPr="000E1F17" w:rsidRDefault="00713F5F" w:rsidP="000E1F17">
            <w:pPr>
              <w:pStyle w:val="Table"/>
              <w:rPr>
                <w:color w:val="FFFFFF" w:themeColor="background1"/>
              </w:rPr>
            </w:pPr>
            <w:r>
              <w:rPr>
                <w:color w:val="FFFFFF" w:themeColor="background1"/>
              </w:rPr>
              <w:t>Quality principle is m</w:t>
            </w:r>
            <w:r w:rsidRPr="000E1F17">
              <w:rPr>
                <w:color w:val="FFFFFF" w:themeColor="background1"/>
              </w:rPr>
              <w:t>et: Yes / No</w:t>
            </w:r>
            <w:r w:rsidR="005B01E2">
              <w:rPr>
                <w:color w:val="FFFFFF" w:themeColor="background1"/>
              </w:rPr>
              <w:t xml:space="preserve"> or N/A</w:t>
            </w:r>
          </w:p>
        </w:tc>
        <w:tc>
          <w:tcPr>
            <w:tcW w:w="2931" w:type="pct"/>
            <w:tcBorders>
              <w:top w:val="single" w:sz="4" w:space="0" w:color="auto"/>
              <w:left w:val="single" w:sz="4" w:space="0" w:color="auto"/>
              <w:bottom w:val="single" w:sz="4" w:space="0" w:color="auto"/>
              <w:right w:val="single" w:sz="4" w:space="0" w:color="auto"/>
            </w:tcBorders>
            <w:shd w:val="clear" w:color="auto" w:fill="1B75BC" w:themeFill="text2"/>
          </w:tcPr>
          <w:p w14:paraId="7C138A94" w14:textId="11FA4450" w:rsidR="00713F5F" w:rsidRDefault="00713F5F" w:rsidP="000E1F17">
            <w:pPr>
              <w:pStyle w:val="Table"/>
              <w:rPr>
                <w:color w:val="FFFFFF" w:themeColor="background1"/>
              </w:rPr>
            </w:pPr>
            <w:r>
              <w:rPr>
                <w:color w:val="FFFFFF" w:themeColor="background1"/>
              </w:rPr>
              <w:t>Evidence</w:t>
            </w:r>
            <w:r w:rsidR="005B01E2">
              <w:rPr>
                <w:color w:val="FFFFFF" w:themeColor="background1"/>
              </w:rPr>
              <w:t xml:space="preserve"> demonstrating</w:t>
            </w:r>
            <w:r w:rsidR="000D0CDA">
              <w:rPr>
                <w:color w:val="FFFFFF" w:themeColor="background1"/>
              </w:rPr>
              <w:t xml:space="preserve"> compliance/</w:t>
            </w:r>
            <w:proofErr w:type="spellStart"/>
            <w:r w:rsidR="000D0CDA">
              <w:rPr>
                <w:color w:val="FFFFFF" w:themeColor="background1"/>
              </w:rPr>
              <w:t>non compliance</w:t>
            </w:r>
            <w:proofErr w:type="spellEnd"/>
            <w:r w:rsidR="000D0CDA">
              <w:rPr>
                <w:color w:val="FFFFFF" w:themeColor="background1"/>
              </w:rPr>
              <w:t xml:space="preserve"> </w:t>
            </w:r>
            <w:r w:rsidR="008F0858">
              <w:rPr>
                <w:color w:val="FFFFFF" w:themeColor="background1"/>
              </w:rPr>
              <w:t xml:space="preserve">with </w:t>
            </w:r>
            <w:r w:rsidR="005B01E2">
              <w:rPr>
                <w:color w:val="FFFFFF" w:themeColor="background1"/>
              </w:rPr>
              <w:t>t</w:t>
            </w:r>
            <w:r w:rsidR="008F0858">
              <w:rPr>
                <w:color w:val="FFFFFF" w:themeColor="background1"/>
              </w:rPr>
              <w:t xml:space="preserve">he quality principle </w:t>
            </w:r>
          </w:p>
          <w:p w14:paraId="394BF978" w14:textId="07A27B3D" w:rsidR="00D42BA0" w:rsidRPr="00010458" w:rsidRDefault="00D42BA0" w:rsidP="000E1F17">
            <w:pPr>
              <w:pStyle w:val="Table"/>
              <w:rPr>
                <w:color w:val="FFFFFF" w:themeColor="background1"/>
                <w:sz w:val="16"/>
                <w:szCs w:val="16"/>
              </w:rPr>
            </w:pPr>
          </w:p>
          <w:p w14:paraId="14B8470E" w14:textId="75277BC6" w:rsidR="00713F5F" w:rsidRPr="00900302" w:rsidRDefault="005B01E2" w:rsidP="000E1F17">
            <w:pPr>
              <w:pStyle w:val="Table"/>
              <w:rPr>
                <w:color w:val="000000" w:themeColor="text1"/>
              </w:rPr>
            </w:pPr>
            <w:r>
              <w:rPr>
                <w:color w:val="FFFFFF" w:themeColor="background1"/>
              </w:rPr>
              <w:t>P</w:t>
            </w:r>
            <w:r w:rsidR="00D42BA0">
              <w:rPr>
                <w:color w:val="FFFFFF" w:themeColor="background1"/>
              </w:rPr>
              <w:t xml:space="preserve">lease see examples of evidence in the </w:t>
            </w:r>
            <w:r w:rsidR="00D42BA0" w:rsidRPr="00B52142">
              <w:rPr>
                <w:i/>
                <w:color w:val="FFFFFF" w:themeColor="background1"/>
              </w:rPr>
              <w:t>Training Package Development and Endorsement Process Policy</w:t>
            </w:r>
          </w:p>
        </w:tc>
      </w:tr>
      <w:tr w:rsidR="00713F5F" w:rsidRPr="003C2812" w14:paraId="4E00E1EA" w14:textId="77777777" w:rsidTr="00E03C9E">
        <w:tc>
          <w:tcPr>
            <w:tcW w:w="1516" w:type="pct"/>
            <w:tcBorders>
              <w:top w:val="single" w:sz="4" w:space="0" w:color="auto"/>
              <w:left w:val="single" w:sz="4" w:space="0" w:color="auto"/>
              <w:bottom w:val="single" w:sz="4" w:space="0" w:color="auto"/>
              <w:right w:val="single" w:sz="4" w:space="0" w:color="auto"/>
            </w:tcBorders>
            <w:shd w:val="clear" w:color="auto" w:fill="FFFFFF" w:themeFill="background1"/>
          </w:tcPr>
          <w:p w14:paraId="3D2F4377" w14:textId="77777777" w:rsidR="00713F5F" w:rsidRPr="003C2812" w:rsidRDefault="00713F5F" w:rsidP="000E1F17">
            <w:pPr>
              <w:pStyle w:val="Table"/>
            </w:pPr>
            <w:r w:rsidRPr="003C2812">
              <w:t>Driven by industry’s needs</w:t>
            </w:r>
          </w:p>
        </w:tc>
        <w:tc>
          <w:tcPr>
            <w:tcW w:w="554" w:type="pct"/>
            <w:tcBorders>
              <w:top w:val="single" w:sz="4" w:space="0" w:color="auto"/>
              <w:left w:val="single" w:sz="4" w:space="0" w:color="auto"/>
              <w:bottom w:val="single" w:sz="4" w:space="0" w:color="auto"/>
              <w:right w:val="single" w:sz="4" w:space="0" w:color="auto"/>
            </w:tcBorders>
            <w:shd w:val="clear" w:color="auto" w:fill="FFFFFF" w:themeFill="background1"/>
          </w:tcPr>
          <w:p w14:paraId="593C0312" w14:textId="0E15D986" w:rsidR="00713F5F" w:rsidRPr="003C2812" w:rsidRDefault="00F50B93" w:rsidP="000E1F17">
            <w:pPr>
              <w:pStyle w:val="Table"/>
            </w:pPr>
            <w:r>
              <w:t>Yes</w:t>
            </w:r>
          </w:p>
        </w:tc>
        <w:tc>
          <w:tcPr>
            <w:tcW w:w="2931" w:type="pct"/>
            <w:tcBorders>
              <w:top w:val="single" w:sz="4" w:space="0" w:color="auto"/>
              <w:left w:val="single" w:sz="4" w:space="0" w:color="auto"/>
              <w:bottom w:val="single" w:sz="4" w:space="0" w:color="auto"/>
              <w:right w:val="single" w:sz="4" w:space="0" w:color="auto"/>
            </w:tcBorders>
            <w:shd w:val="clear" w:color="auto" w:fill="FFFFFF" w:themeFill="background1"/>
          </w:tcPr>
          <w:p w14:paraId="2F8A5ACE" w14:textId="77777777" w:rsidR="00713F5F" w:rsidRDefault="00CE7F18" w:rsidP="000E1F17">
            <w:pPr>
              <w:pStyle w:val="Table"/>
            </w:pPr>
            <w:r>
              <w:t xml:space="preserve">The two revised qualifications proposed for endorsement for RGR v4.0 align to the Case for Change as outlined in the </w:t>
            </w:r>
            <w:proofErr w:type="spellStart"/>
            <w:r>
              <w:t>CfE</w:t>
            </w:r>
            <w:proofErr w:type="spellEnd"/>
            <w:r>
              <w:t xml:space="preserve">. </w:t>
            </w:r>
          </w:p>
          <w:p w14:paraId="53FFBB68" w14:textId="175657B9" w:rsidR="00CE7F18" w:rsidRDefault="00CE7F18" w:rsidP="000E1F17">
            <w:pPr>
              <w:pStyle w:val="Table"/>
            </w:pPr>
            <w:r>
              <w:t xml:space="preserve">Additional amendments suggested by stakeholders were considered by the developer, and due to the limited scope of the Case for Change, have been registered for future consideration, to </w:t>
            </w:r>
            <w:r w:rsidR="00F50B93">
              <w:t xml:space="preserve">enable the project to </w:t>
            </w:r>
            <w:r>
              <w:t>meet the Activity Order timeframes.</w:t>
            </w:r>
          </w:p>
          <w:p w14:paraId="6E4EB762" w14:textId="4FB2F459" w:rsidR="00CE7F18" w:rsidRPr="003C2812" w:rsidRDefault="00CE7F18" w:rsidP="000E1F17">
            <w:pPr>
              <w:pStyle w:val="Table"/>
            </w:pPr>
            <w:r>
              <w:t xml:space="preserve">The </w:t>
            </w:r>
            <w:proofErr w:type="spellStart"/>
            <w:r>
              <w:t>CfE</w:t>
            </w:r>
            <w:proofErr w:type="spellEnd"/>
            <w:r>
              <w:t xml:space="preserve"> </w:t>
            </w:r>
            <w:r w:rsidR="001825B5">
              <w:t>acknowledges</w:t>
            </w:r>
            <w:r>
              <w:t xml:space="preserve"> varying opinions raised by the IRC and other stakeholders in relation to </w:t>
            </w:r>
            <w:r w:rsidR="00F50B93">
              <w:t xml:space="preserve">inclusion of </w:t>
            </w:r>
            <w:r>
              <w:t xml:space="preserve">licencing requirements </w:t>
            </w:r>
            <w:r w:rsidR="00F50B93">
              <w:t xml:space="preserve">as </w:t>
            </w:r>
            <w:r w:rsidR="001825B5">
              <w:t xml:space="preserve">qualification </w:t>
            </w:r>
            <w:r w:rsidR="00F50B93">
              <w:t xml:space="preserve">entry requirements </w:t>
            </w:r>
            <w:r>
              <w:t xml:space="preserve">(medical clearance, health/fitness/riding weights) which have been included as </w:t>
            </w:r>
            <w:r w:rsidR="00F1015B">
              <w:t xml:space="preserve">implementation </w:t>
            </w:r>
            <w:r>
              <w:t>considerations for Registered Training Organisations prior to learner commencement in the Certificate IV in Racing (Jockey) qualification.</w:t>
            </w:r>
          </w:p>
        </w:tc>
      </w:tr>
      <w:tr w:rsidR="00713F5F" w:rsidRPr="003C2812" w14:paraId="44C0C632" w14:textId="77777777" w:rsidTr="008F0858">
        <w:trPr>
          <w:trHeight w:val="580"/>
        </w:trPr>
        <w:tc>
          <w:tcPr>
            <w:tcW w:w="1516" w:type="pct"/>
            <w:tcBorders>
              <w:top w:val="single" w:sz="4" w:space="0" w:color="auto"/>
              <w:left w:val="single" w:sz="4" w:space="0" w:color="auto"/>
              <w:bottom w:val="single" w:sz="4" w:space="0" w:color="auto"/>
              <w:right w:val="single" w:sz="4" w:space="0" w:color="auto"/>
            </w:tcBorders>
            <w:shd w:val="clear" w:color="auto" w:fill="FFFFFF" w:themeFill="background1"/>
          </w:tcPr>
          <w:p w14:paraId="12E7BA82" w14:textId="77777777" w:rsidR="00713F5F" w:rsidRDefault="00713F5F" w:rsidP="000D0038">
            <w:pPr>
              <w:pStyle w:val="Table"/>
            </w:pPr>
            <w:r w:rsidRPr="003C2812">
              <w:t xml:space="preserve">Compliant </w:t>
            </w:r>
            <w:r>
              <w:t>and responds to government pol</w:t>
            </w:r>
            <w:r w:rsidRPr="003C2812">
              <w:t>icy initiatives</w:t>
            </w:r>
          </w:p>
          <w:p w14:paraId="5EEAC14D" w14:textId="77777777" w:rsidR="00713F5F" w:rsidRDefault="00713F5F" w:rsidP="000D0038">
            <w:pPr>
              <w:pStyle w:val="Table"/>
            </w:pPr>
          </w:p>
          <w:p w14:paraId="6F068A06" w14:textId="77777777" w:rsidR="00713F5F" w:rsidRPr="003C2812" w:rsidRDefault="00713F5F" w:rsidP="0045160A">
            <w:pPr>
              <w:pStyle w:val="Tablebullet"/>
              <w:numPr>
                <w:ilvl w:val="0"/>
                <w:numId w:val="0"/>
              </w:numPr>
              <w:ind w:left="170" w:hanging="170"/>
            </w:pPr>
            <w:r>
              <w:t>Training package component</w:t>
            </w:r>
          </w:p>
          <w:p w14:paraId="68EA0D53" w14:textId="44013460" w:rsidR="00713F5F" w:rsidRDefault="00713F5F" w:rsidP="00614445">
            <w:pPr>
              <w:pStyle w:val="Tablebullet"/>
              <w:numPr>
                <w:ilvl w:val="0"/>
                <w:numId w:val="0"/>
              </w:numPr>
              <w:spacing w:after="0"/>
            </w:pPr>
            <w:r w:rsidRPr="003C2812">
              <w:t>respond</w:t>
            </w:r>
            <w:r>
              <w:t>s</w:t>
            </w:r>
            <w:r w:rsidRPr="003C2812">
              <w:t xml:space="preserve"> to </w:t>
            </w:r>
            <w:r>
              <w:t>the COAG Industry and Skills Council</w:t>
            </w:r>
            <w:r w:rsidRPr="003C2812">
              <w:t>’</w:t>
            </w:r>
            <w:r>
              <w:t>s (CISC)</w:t>
            </w:r>
            <w:r w:rsidRPr="003C2812">
              <w:t xml:space="preserve"> </w:t>
            </w:r>
            <w:r>
              <w:t>training package-related</w:t>
            </w:r>
            <w:r w:rsidR="00E61F1D">
              <w:t xml:space="preserve"> </w:t>
            </w:r>
            <w:r w:rsidRPr="003C2812">
              <w:t>initiatives</w:t>
            </w:r>
            <w:r w:rsidR="00855579">
              <w:t xml:space="preserve"> or directions</w:t>
            </w:r>
            <w:r w:rsidRPr="003C2812">
              <w:t>, in particular the 2015 training package reforms</w:t>
            </w:r>
            <w:r>
              <w:t>. Please specify which of the following CISC reforms are relevant to the training product and identify supporting evidence:</w:t>
            </w:r>
          </w:p>
          <w:p w14:paraId="760E20CF" w14:textId="164480DA" w:rsidR="00713F5F" w:rsidRPr="00F07A21" w:rsidRDefault="00713F5F" w:rsidP="00E21128">
            <w:pPr>
              <w:pStyle w:val="ListParagraph"/>
              <w:numPr>
                <w:ilvl w:val="0"/>
                <w:numId w:val="11"/>
              </w:numPr>
              <w:spacing w:before="0" w:after="0" w:line="240" w:lineRule="auto"/>
              <w:ind w:left="172" w:hanging="147"/>
              <w:rPr>
                <w:rFonts w:asciiTheme="minorHAnsi" w:hAnsiTheme="minorHAnsi"/>
                <w:b/>
              </w:rPr>
            </w:pPr>
            <w:r w:rsidRPr="00FA0FD6">
              <w:rPr>
                <w:rFonts w:asciiTheme="minorHAnsi" w:hAnsiTheme="minorHAnsi"/>
              </w:rPr>
              <w:t xml:space="preserve">ensure </w:t>
            </w:r>
            <w:r w:rsidRPr="00C07889">
              <w:rPr>
                <w:rFonts w:asciiTheme="minorHAnsi" w:hAnsiTheme="minorHAnsi"/>
              </w:rPr>
              <w:t>obsolete and superfluous</w:t>
            </w:r>
            <w:r w:rsidRPr="00FA0FD6">
              <w:rPr>
                <w:rFonts w:asciiTheme="minorHAnsi" w:hAnsiTheme="minorHAnsi"/>
              </w:rPr>
              <w:t xml:space="preserve"> qualifications are removed from the system</w:t>
            </w:r>
          </w:p>
          <w:p w14:paraId="5D0FF034" w14:textId="77777777" w:rsidR="00F07A21" w:rsidRPr="00FA0FD6" w:rsidRDefault="00F07A21" w:rsidP="00F07A21">
            <w:pPr>
              <w:pStyle w:val="ListParagraph"/>
              <w:spacing w:before="0" w:after="0" w:line="240" w:lineRule="auto"/>
              <w:ind w:left="172"/>
              <w:rPr>
                <w:rFonts w:asciiTheme="minorHAnsi" w:hAnsiTheme="minorHAnsi"/>
                <w:b/>
              </w:rPr>
            </w:pPr>
          </w:p>
          <w:p w14:paraId="170DA87A" w14:textId="13285898" w:rsidR="00713F5F" w:rsidRPr="00F07A21" w:rsidRDefault="00713F5F" w:rsidP="00E21128">
            <w:pPr>
              <w:pStyle w:val="ListParagraph"/>
              <w:numPr>
                <w:ilvl w:val="0"/>
                <w:numId w:val="11"/>
              </w:numPr>
              <w:spacing w:before="0" w:after="0" w:line="240" w:lineRule="auto"/>
              <w:ind w:left="172" w:hanging="147"/>
              <w:rPr>
                <w:rFonts w:asciiTheme="minorHAnsi" w:hAnsiTheme="minorHAnsi"/>
                <w:b/>
              </w:rPr>
            </w:pPr>
            <w:r w:rsidRPr="00FA0FD6">
              <w:rPr>
                <w:rFonts w:asciiTheme="minorHAnsi" w:hAnsiTheme="minorHAnsi"/>
              </w:rPr>
              <w:t xml:space="preserve">ensure that more </w:t>
            </w:r>
            <w:r w:rsidRPr="006B00E1">
              <w:rPr>
                <w:rFonts w:asciiTheme="minorHAnsi" w:hAnsiTheme="minorHAnsi"/>
              </w:rPr>
              <w:t>information</w:t>
            </w:r>
            <w:r w:rsidRPr="00FA0FD6">
              <w:rPr>
                <w:rFonts w:asciiTheme="minorHAnsi" w:hAnsiTheme="minorHAnsi"/>
              </w:rPr>
              <w:t xml:space="preserve"> about industry’s expectations of training delivery is available to training providers to </w:t>
            </w:r>
            <w:r w:rsidRPr="00FA0FD6">
              <w:rPr>
                <w:rFonts w:asciiTheme="minorHAnsi" w:hAnsiTheme="minorHAnsi"/>
              </w:rPr>
              <w:lastRenderedPageBreak/>
              <w:t>improve their delivery and to consumers to enab</w:t>
            </w:r>
            <w:r>
              <w:rPr>
                <w:rFonts w:asciiTheme="minorHAnsi" w:hAnsiTheme="minorHAnsi"/>
              </w:rPr>
              <w:t>le more informed course choices</w:t>
            </w:r>
            <w:r w:rsidRPr="00FA0FD6">
              <w:rPr>
                <w:rFonts w:asciiTheme="minorHAnsi" w:hAnsiTheme="minorHAnsi"/>
              </w:rPr>
              <w:t xml:space="preserve"> </w:t>
            </w:r>
          </w:p>
          <w:p w14:paraId="0DDB6A02" w14:textId="6D774390" w:rsidR="00F07A21" w:rsidRPr="00F07A21" w:rsidRDefault="00F07A21" w:rsidP="00F07A21">
            <w:pPr>
              <w:spacing w:before="0" w:after="0" w:line="240" w:lineRule="auto"/>
              <w:rPr>
                <w:rFonts w:asciiTheme="minorHAnsi" w:hAnsiTheme="minorHAnsi"/>
                <w:b/>
              </w:rPr>
            </w:pPr>
          </w:p>
          <w:p w14:paraId="02050CCB" w14:textId="1B3534AA" w:rsidR="00713F5F" w:rsidRPr="00F07A21" w:rsidRDefault="00713F5F" w:rsidP="00E21128">
            <w:pPr>
              <w:pStyle w:val="ListParagraph"/>
              <w:numPr>
                <w:ilvl w:val="0"/>
                <w:numId w:val="11"/>
              </w:numPr>
              <w:spacing w:before="0" w:after="0" w:line="240" w:lineRule="auto"/>
              <w:ind w:left="172" w:hanging="147"/>
              <w:rPr>
                <w:rFonts w:asciiTheme="minorHAnsi" w:hAnsiTheme="minorHAnsi"/>
                <w:b/>
              </w:rPr>
            </w:pPr>
            <w:r w:rsidRPr="00FA0FD6">
              <w:rPr>
                <w:rFonts w:asciiTheme="minorHAnsi" w:hAnsiTheme="minorHAnsi"/>
              </w:rPr>
              <w:t xml:space="preserve">ensure that the training system better supports individuals </w:t>
            </w:r>
            <w:r w:rsidRPr="006B00E1">
              <w:rPr>
                <w:rFonts w:asciiTheme="minorHAnsi" w:hAnsiTheme="minorHAnsi"/>
              </w:rPr>
              <w:t>to move easily</w:t>
            </w:r>
            <w:r w:rsidRPr="00FA0FD6">
              <w:rPr>
                <w:rFonts w:asciiTheme="minorHAnsi" w:hAnsiTheme="minorHAnsi"/>
              </w:rPr>
              <w:t xml:space="preserve"> from one related occupation to another</w:t>
            </w:r>
          </w:p>
          <w:p w14:paraId="63322311" w14:textId="3E576054" w:rsidR="00F07A21" w:rsidRPr="00F07A21" w:rsidRDefault="00F07A21" w:rsidP="00F07A21">
            <w:pPr>
              <w:spacing w:before="0" w:after="0" w:line="240" w:lineRule="auto"/>
              <w:rPr>
                <w:rFonts w:asciiTheme="minorHAnsi" w:hAnsiTheme="minorHAnsi"/>
                <w:b/>
              </w:rPr>
            </w:pPr>
          </w:p>
          <w:p w14:paraId="21C7C6EE" w14:textId="2F8DDED9" w:rsidR="00713F5F" w:rsidRPr="00F07A21" w:rsidRDefault="00713F5F" w:rsidP="00E21128">
            <w:pPr>
              <w:pStyle w:val="ListParagraph"/>
              <w:numPr>
                <w:ilvl w:val="0"/>
                <w:numId w:val="14"/>
              </w:numPr>
              <w:spacing w:before="0" w:after="0" w:line="240" w:lineRule="auto"/>
              <w:ind w:left="172" w:hanging="147"/>
              <w:rPr>
                <w:rFonts w:asciiTheme="minorHAnsi" w:hAnsiTheme="minorHAnsi"/>
                <w:b/>
              </w:rPr>
            </w:pPr>
            <w:r w:rsidRPr="007D762E">
              <w:rPr>
                <w:rFonts w:asciiTheme="minorHAnsi" w:hAnsiTheme="minorHAnsi"/>
              </w:rPr>
              <w:t>improve the efficiency of the training system by creating units that can be owned and used by multiple industry sectors</w:t>
            </w:r>
          </w:p>
          <w:p w14:paraId="70AAEB6B" w14:textId="77777777" w:rsidR="00F07A21" w:rsidRPr="007D762E" w:rsidRDefault="00F07A21" w:rsidP="00F07A21">
            <w:pPr>
              <w:pStyle w:val="ListParagraph"/>
              <w:spacing w:before="0" w:after="0" w:line="240" w:lineRule="auto"/>
              <w:ind w:left="172"/>
              <w:rPr>
                <w:rFonts w:asciiTheme="minorHAnsi" w:hAnsiTheme="minorHAnsi"/>
                <w:b/>
              </w:rPr>
            </w:pPr>
          </w:p>
          <w:p w14:paraId="08275DEC" w14:textId="77777777" w:rsidR="00713F5F" w:rsidRPr="003C2812" w:rsidRDefault="00713F5F" w:rsidP="00E21128">
            <w:pPr>
              <w:pStyle w:val="ListParagraph"/>
              <w:numPr>
                <w:ilvl w:val="0"/>
                <w:numId w:val="11"/>
              </w:numPr>
              <w:spacing w:before="0" w:after="0" w:line="240" w:lineRule="auto"/>
              <w:ind w:left="172" w:hanging="147"/>
            </w:pPr>
            <w:r w:rsidRPr="009C3E2E">
              <w:rPr>
                <w:rFonts w:asciiTheme="minorHAnsi" w:hAnsiTheme="minorHAnsi"/>
              </w:rPr>
              <w:t>foster greater recognition of skill sets</w:t>
            </w:r>
          </w:p>
        </w:tc>
        <w:tc>
          <w:tcPr>
            <w:tcW w:w="554" w:type="pct"/>
            <w:tcBorders>
              <w:top w:val="single" w:sz="4" w:space="0" w:color="auto"/>
              <w:left w:val="single" w:sz="4" w:space="0" w:color="auto"/>
              <w:bottom w:val="single" w:sz="4" w:space="0" w:color="auto"/>
              <w:right w:val="single" w:sz="4" w:space="0" w:color="auto"/>
            </w:tcBorders>
            <w:shd w:val="clear" w:color="auto" w:fill="FFFFFF" w:themeFill="background1"/>
          </w:tcPr>
          <w:p w14:paraId="694AE8D2" w14:textId="17C5C0BD" w:rsidR="00713F5F" w:rsidRPr="003C2812" w:rsidRDefault="00F50B93" w:rsidP="000E1F17">
            <w:pPr>
              <w:pStyle w:val="Table"/>
            </w:pPr>
            <w:r>
              <w:lastRenderedPageBreak/>
              <w:t>Yes</w:t>
            </w:r>
          </w:p>
        </w:tc>
        <w:tc>
          <w:tcPr>
            <w:tcW w:w="2931" w:type="pct"/>
            <w:tcBorders>
              <w:top w:val="single" w:sz="4" w:space="0" w:color="auto"/>
              <w:left w:val="single" w:sz="4" w:space="0" w:color="auto"/>
              <w:bottom w:val="single" w:sz="4" w:space="0" w:color="auto"/>
              <w:right w:val="single" w:sz="4" w:space="0" w:color="auto"/>
            </w:tcBorders>
            <w:shd w:val="clear" w:color="auto" w:fill="FFFFFF" w:themeFill="background1"/>
          </w:tcPr>
          <w:p w14:paraId="3191990A" w14:textId="77777777" w:rsidR="00F1015B" w:rsidRPr="00925D7E" w:rsidRDefault="00F1015B" w:rsidP="00F1015B">
            <w:pPr>
              <w:pStyle w:val="Table"/>
              <w:rPr>
                <w:rFonts w:asciiTheme="minorHAnsi" w:hAnsiTheme="minorHAnsi"/>
              </w:rPr>
            </w:pPr>
            <w:r w:rsidRPr="00925D7E">
              <w:rPr>
                <w:rFonts w:asciiTheme="minorHAnsi" w:hAnsiTheme="minorHAnsi"/>
              </w:rPr>
              <w:t xml:space="preserve">The endorsed components respond to the COAG Industry and Skills Council’s (CISC) training package reforms, specifically: </w:t>
            </w:r>
          </w:p>
          <w:p w14:paraId="5BB2586C" w14:textId="77777777" w:rsidR="00713F5F" w:rsidRDefault="00713F5F" w:rsidP="000E1F17">
            <w:pPr>
              <w:pStyle w:val="Table"/>
              <w:rPr>
                <w:color w:val="000000" w:themeColor="text1"/>
              </w:rPr>
            </w:pPr>
          </w:p>
          <w:p w14:paraId="786889E3" w14:textId="77777777" w:rsidR="00F1015B" w:rsidRPr="00F1015B" w:rsidRDefault="00F1015B" w:rsidP="00F1015B">
            <w:pPr>
              <w:pStyle w:val="Tablebullet"/>
              <w:rPr>
                <w:b/>
                <w:bCs/>
                <w:color w:val="000000" w:themeColor="text1"/>
              </w:rPr>
            </w:pPr>
            <w:r w:rsidRPr="00F1015B">
              <w:rPr>
                <w:b/>
                <w:bCs/>
              </w:rPr>
              <w:t>ensure that more information about industry’s expectations of training delivery is available to training providers to improve their delivery and to consumers to enable more informed course choices</w:t>
            </w:r>
          </w:p>
          <w:p w14:paraId="79D2A211" w14:textId="2B73FD14" w:rsidR="00F1015B" w:rsidRPr="00F1015B" w:rsidRDefault="00F1015B" w:rsidP="00F1015B">
            <w:pPr>
              <w:pStyle w:val="Table"/>
            </w:pPr>
            <w:r>
              <w:t xml:space="preserve">Information about industry’s expectations about learner access to the Certificate IV in Racing (Jockey) prior to commencement has been specified in the CVIG. </w:t>
            </w:r>
          </w:p>
        </w:tc>
      </w:tr>
      <w:tr w:rsidR="00713F5F" w:rsidRPr="003C2812" w14:paraId="43C49B09" w14:textId="77777777" w:rsidTr="008F0858">
        <w:trPr>
          <w:trHeight w:val="1314"/>
        </w:trPr>
        <w:tc>
          <w:tcPr>
            <w:tcW w:w="1516" w:type="pct"/>
            <w:tcBorders>
              <w:top w:val="single" w:sz="4" w:space="0" w:color="auto"/>
              <w:left w:val="single" w:sz="4" w:space="0" w:color="auto"/>
              <w:bottom w:val="single" w:sz="4" w:space="0" w:color="auto"/>
              <w:right w:val="single" w:sz="4" w:space="0" w:color="auto"/>
            </w:tcBorders>
            <w:shd w:val="clear" w:color="auto" w:fill="FFFFFF" w:themeFill="background1"/>
          </w:tcPr>
          <w:p w14:paraId="32803BBD" w14:textId="77777777" w:rsidR="00713F5F" w:rsidRPr="003C2812" w:rsidRDefault="00713F5F" w:rsidP="000E1F17">
            <w:pPr>
              <w:pStyle w:val="Table"/>
            </w:pPr>
            <w:r w:rsidRPr="003C2812">
              <w:t>Reflect contemporary work organisation and job profiles incorporating a future orientation</w:t>
            </w:r>
          </w:p>
        </w:tc>
        <w:tc>
          <w:tcPr>
            <w:tcW w:w="554" w:type="pct"/>
            <w:tcBorders>
              <w:top w:val="single" w:sz="4" w:space="0" w:color="auto"/>
              <w:left w:val="single" w:sz="4" w:space="0" w:color="auto"/>
              <w:bottom w:val="single" w:sz="4" w:space="0" w:color="auto"/>
              <w:right w:val="single" w:sz="4" w:space="0" w:color="auto"/>
            </w:tcBorders>
            <w:shd w:val="clear" w:color="auto" w:fill="FFFFFF" w:themeFill="background1"/>
          </w:tcPr>
          <w:p w14:paraId="7C8097C0" w14:textId="4CCD7554" w:rsidR="00713F5F" w:rsidRPr="003C2812" w:rsidRDefault="00F50B93" w:rsidP="000E1F17">
            <w:pPr>
              <w:pStyle w:val="Table"/>
            </w:pPr>
            <w:r>
              <w:t>Yes</w:t>
            </w:r>
          </w:p>
        </w:tc>
        <w:tc>
          <w:tcPr>
            <w:tcW w:w="2931" w:type="pct"/>
            <w:tcBorders>
              <w:top w:val="single" w:sz="4" w:space="0" w:color="auto"/>
              <w:left w:val="single" w:sz="4" w:space="0" w:color="auto"/>
              <w:bottom w:val="single" w:sz="4" w:space="0" w:color="auto"/>
              <w:right w:val="single" w:sz="4" w:space="0" w:color="auto"/>
            </w:tcBorders>
            <w:shd w:val="clear" w:color="auto" w:fill="FFFFFF" w:themeFill="background1"/>
          </w:tcPr>
          <w:p w14:paraId="025BBD2A" w14:textId="77777777" w:rsidR="00713F5F" w:rsidRDefault="007A42FD" w:rsidP="000E1F17">
            <w:pPr>
              <w:pStyle w:val="Table"/>
            </w:pPr>
            <w:r>
              <w:t xml:space="preserve">Changes made to the qualifications were specifically to align the qualification outcomes to current job profiles (jockey) and enable flexible use of Certificate II qualification for </w:t>
            </w:r>
            <w:proofErr w:type="spellStart"/>
            <w:r>
              <w:t>non horse</w:t>
            </w:r>
            <w:proofErr w:type="spellEnd"/>
            <w:r>
              <w:t xml:space="preserve"> specific racing industry job roles.</w:t>
            </w:r>
          </w:p>
          <w:p w14:paraId="6C4A95A3" w14:textId="0FEEAC9B" w:rsidR="00765E19" w:rsidRPr="003C2812" w:rsidRDefault="00765E19" w:rsidP="000E1F17">
            <w:pPr>
              <w:pStyle w:val="Table"/>
            </w:pPr>
            <w:r>
              <w:t>Additional information in the CVIG for RTOs to consider suitability of learners for future industry employment reflects industry expectations.</w:t>
            </w:r>
          </w:p>
        </w:tc>
      </w:tr>
    </w:tbl>
    <w:p w14:paraId="0F4FD3F7" w14:textId="77777777" w:rsidR="00EB1A80" w:rsidRPr="009B2119" w:rsidRDefault="00EB1A80" w:rsidP="006B2CFA">
      <w:pPr>
        <w:pStyle w:val="Table"/>
        <w:rPr>
          <w:b/>
        </w:rPr>
      </w:pPr>
    </w:p>
    <w:p w14:paraId="1579003A" w14:textId="4F692225" w:rsidR="006B2CFA" w:rsidRPr="00E21128" w:rsidRDefault="00E03C9E" w:rsidP="006B2CFA">
      <w:pPr>
        <w:pStyle w:val="Table"/>
        <w:rPr>
          <w:b/>
          <w:sz w:val="24"/>
          <w:szCs w:val="24"/>
          <w:bdr w:val="single" w:sz="4" w:space="0" w:color="FFFFFF" w:themeColor="background1"/>
        </w:rPr>
      </w:pPr>
      <w:r w:rsidRPr="00E21128">
        <w:rPr>
          <w:b/>
          <w:sz w:val="24"/>
          <w:szCs w:val="24"/>
        </w:rPr>
        <w:t xml:space="preserve">Quality principle </w:t>
      </w:r>
      <w:r w:rsidR="006B2CFA" w:rsidRPr="00E21128">
        <w:rPr>
          <w:b/>
          <w:sz w:val="24"/>
          <w:szCs w:val="24"/>
        </w:rPr>
        <w:t>2</w:t>
      </w:r>
      <w:r w:rsidRPr="00E21128">
        <w:rPr>
          <w:b/>
          <w:sz w:val="24"/>
          <w:szCs w:val="24"/>
          <w:bdr w:val="single" w:sz="4" w:space="0" w:color="FFFFFF" w:themeColor="background1"/>
        </w:rPr>
        <w:t>:</w:t>
      </w:r>
      <w:r w:rsidR="006B2CFA" w:rsidRPr="00E21128">
        <w:rPr>
          <w:b/>
          <w:sz w:val="24"/>
          <w:szCs w:val="24"/>
          <w:bdr w:val="single" w:sz="4" w:space="0" w:color="FFFFFF" w:themeColor="background1"/>
        </w:rPr>
        <w:t xml:space="preserve"> Support portability of skills and competencies including reflecting licensing and regulatory requirements</w:t>
      </w:r>
    </w:p>
    <w:tbl>
      <w:tblPr>
        <w:tblStyle w:val="LightList-Accent11"/>
        <w:tblW w:w="5307" w:type="pct"/>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FADBD1" w:themeFill="accent6" w:themeFillTint="33"/>
        <w:tblCellMar>
          <w:top w:w="113" w:type="dxa"/>
          <w:left w:w="113" w:type="dxa"/>
          <w:bottom w:w="113" w:type="dxa"/>
          <w:right w:w="113" w:type="dxa"/>
        </w:tblCellMar>
        <w:tblLook w:val="0600" w:firstRow="0" w:lastRow="0" w:firstColumn="0" w:lastColumn="0" w:noHBand="1" w:noVBand="1"/>
      </w:tblPr>
      <w:tblGrid>
        <w:gridCol w:w="3057"/>
        <w:gridCol w:w="1138"/>
        <w:gridCol w:w="5723"/>
      </w:tblGrid>
      <w:tr w:rsidR="00450C32" w:rsidRPr="002B1CF0" w14:paraId="04FA0843" w14:textId="77777777" w:rsidTr="00E03C9E">
        <w:trPr>
          <w:cantSplit/>
          <w:trHeight w:val="318"/>
          <w:tblHeader/>
        </w:trPr>
        <w:tc>
          <w:tcPr>
            <w:tcW w:w="1575" w:type="pct"/>
            <w:tcBorders>
              <w:top w:val="single" w:sz="4" w:space="0" w:color="auto"/>
              <w:left w:val="single" w:sz="4" w:space="0" w:color="auto"/>
              <w:bottom w:val="single" w:sz="4" w:space="0" w:color="auto"/>
              <w:right w:val="single" w:sz="4" w:space="0" w:color="auto"/>
            </w:tcBorders>
            <w:shd w:val="clear" w:color="auto" w:fill="1B75BC" w:themeFill="text2"/>
          </w:tcPr>
          <w:p w14:paraId="5E0A801E" w14:textId="5D2E6F7F" w:rsidR="00450C32" w:rsidRPr="002B1CF0" w:rsidRDefault="00450C32" w:rsidP="00450C32">
            <w:pPr>
              <w:pStyle w:val="Table"/>
            </w:pPr>
            <w:r w:rsidRPr="000E1F17">
              <w:rPr>
                <w:color w:val="FFFFFF" w:themeColor="background1"/>
              </w:rPr>
              <w:t>Key features</w:t>
            </w:r>
          </w:p>
        </w:tc>
        <w:tc>
          <w:tcPr>
            <w:tcW w:w="506" w:type="pct"/>
            <w:tcBorders>
              <w:top w:val="single" w:sz="4" w:space="0" w:color="auto"/>
              <w:left w:val="single" w:sz="4" w:space="0" w:color="auto"/>
              <w:bottom w:val="single" w:sz="4" w:space="0" w:color="auto"/>
              <w:right w:val="single" w:sz="4" w:space="0" w:color="auto"/>
            </w:tcBorders>
            <w:shd w:val="clear" w:color="auto" w:fill="1B75BC" w:themeFill="text2"/>
          </w:tcPr>
          <w:p w14:paraId="7805DCF3" w14:textId="460002DE" w:rsidR="00450C32" w:rsidRPr="002B1CF0" w:rsidRDefault="008F0858" w:rsidP="00450C32">
            <w:pPr>
              <w:pStyle w:val="Table"/>
            </w:pPr>
            <w:r w:rsidRPr="008F0858">
              <w:rPr>
                <w:color w:val="FFFFFF" w:themeColor="background1"/>
              </w:rPr>
              <w:t>Quality principle is met: Yes / No or N/A</w:t>
            </w:r>
          </w:p>
        </w:tc>
        <w:tc>
          <w:tcPr>
            <w:tcW w:w="2918" w:type="pct"/>
            <w:tcBorders>
              <w:top w:val="single" w:sz="4" w:space="0" w:color="auto"/>
              <w:left w:val="single" w:sz="4" w:space="0" w:color="auto"/>
              <w:bottom w:val="single" w:sz="4" w:space="0" w:color="auto"/>
              <w:right w:val="single" w:sz="4" w:space="0" w:color="auto"/>
            </w:tcBorders>
            <w:shd w:val="clear" w:color="auto" w:fill="1B75BC" w:themeFill="text2"/>
          </w:tcPr>
          <w:p w14:paraId="40ACBD26" w14:textId="77777777" w:rsidR="008F0858" w:rsidRPr="008F0858" w:rsidRDefault="008F0858" w:rsidP="008F0858">
            <w:pPr>
              <w:pStyle w:val="Table"/>
              <w:rPr>
                <w:color w:val="FFFFFF" w:themeColor="background1"/>
              </w:rPr>
            </w:pPr>
            <w:r w:rsidRPr="008F0858">
              <w:rPr>
                <w:color w:val="FFFFFF" w:themeColor="background1"/>
              </w:rPr>
              <w:t xml:space="preserve">Evidence demonstrating compliance with the quality principle </w:t>
            </w:r>
          </w:p>
          <w:p w14:paraId="13F960B5" w14:textId="77777777" w:rsidR="00450C32" w:rsidRPr="00010458" w:rsidRDefault="00450C32" w:rsidP="00450C32">
            <w:pPr>
              <w:pStyle w:val="Table"/>
              <w:rPr>
                <w:color w:val="FFFFFF" w:themeColor="background1"/>
                <w:sz w:val="16"/>
                <w:szCs w:val="16"/>
              </w:rPr>
            </w:pPr>
          </w:p>
          <w:p w14:paraId="13FA50CA" w14:textId="64EFD94E" w:rsidR="00450C32" w:rsidRPr="00900302" w:rsidRDefault="005B01E2" w:rsidP="00450C32">
            <w:pPr>
              <w:pStyle w:val="Table"/>
              <w:rPr>
                <w:color w:val="FFFFFF" w:themeColor="background1"/>
              </w:rPr>
            </w:pPr>
            <w:r>
              <w:rPr>
                <w:color w:val="FFFFFF" w:themeColor="background1"/>
              </w:rPr>
              <w:t>P</w:t>
            </w:r>
            <w:r w:rsidR="00450C32">
              <w:rPr>
                <w:color w:val="FFFFFF" w:themeColor="background1"/>
              </w:rPr>
              <w:t xml:space="preserve">lease see examples of evidence in the </w:t>
            </w:r>
            <w:r w:rsidR="00450C32" w:rsidRPr="00B52142">
              <w:rPr>
                <w:i/>
                <w:color w:val="FFFFFF" w:themeColor="background1"/>
              </w:rPr>
              <w:t>Training Package Development and Endorsement Process Policy</w:t>
            </w:r>
          </w:p>
        </w:tc>
      </w:tr>
      <w:tr w:rsidR="00450C32" w:rsidRPr="002B1CF0" w14:paraId="35ADA16D" w14:textId="77777777" w:rsidTr="00010458">
        <w:trPr>
          <w:cantSplit/>
          <w:trHeight w:val="985"/>
        </w:trPr>
        <w:tc>
          <w:tcPr>
            <w:tcW w:w="1575" w:type="pct"/>
            <w:tcBorders>
              <w:top w:val="single" w:sz="4" w:space="0" w:color="auto"/>
              <w:left w:val="single" w:sz="4" w:space="0" w:color="auto"/>
              <w:bottom w:val="single" w:sz="4" w:space="0" w:color="auto"/>
              <w:right w:val="single" w:sz="4" w:space="0" w:color="auto"/>
            </w:tcBorders>
            <w:shd w:val="clear" w:color="auto" w:fill="FFFFFF" w:themeFill="background1"/>
          </w:tcPr>
          <w:p w14:paraId="071BB2A2" w14:textId="77777777" w:rsidR="00450C32" w:rsidRPr="008D30CD" w:rsidRDefault="00450C32" w:rsidP="00450C32">
            <w:pPr>
              <w:pStyle w:val="Table"/>
            </w:pPr>
            <w:r w:rsidRPr="008D30CD">
              <w:t>Support movement of skills within and across organisations and sectors</w:t>
            </w:r>
          </w:p>
        </w:tc>
        <w:tc>
          <w:tcPr>
            <w:tcW w:w="506" w:type="pct"/>
            <w:tcBorders>
              <w:top w:val="single" w:sz="4" w:space="0" w:color="auto"/>
              <w:left w:val="single" w:sz="4" w:space="0" w:color="auto"/>
              <w:bottom w:val="single" w:sz="4" w:space="0" w:color="auto"/>
              <w:right w:val="single" w:sz="4" w:space="0" w:color="auto"/>
            </w:tcBorders>
            <w:shd w:val="clear" w:color="auto" w:fill="FFFFFF" w:themeFill="background1"/>
          </w:tcPr>
          <w:p w14:paraId="48ECC646" w14:textId="7A294101" w:rsidR="00450C32" w:rsidRPr="002B1CF0" w:rsidRDefault="00F50B93" w:rsidP="00450C32">
            <w:pPr>
              <w:pStyle w:val="Table"/>
            </w:pPr>
            <w:r>
              <w:t>Yes</w:t>
            </w:r>
          </w:p>
        </w:tc>
        <w:tc>
          <w:tcPr>
            <w:tcW w:w="2918" w:type="pct"/>
            <w:tcBorders>
              <w:top w:val="single" w:sz="4" w:space="0" w:color="auto"/>
              <w:left w:val="single" w:sz="4" w:space="0" w:color="auto"/>
              <w:bottom w:val="single" w:sz="4" w:space="0" w:color="auto"/>
              <w:right w:val="single" w:sz="4" w:space="0" w:color="auto"/>
            </w:tcBorders>
            <w:shd w:val="clear" w:color="auto" w:fill="FFFFFF" w:themeFill="background1"/>
          </w:tcPr>
          <w:p w14:paraId="3E7F535B" w14:textId="5EEFBCF4" w:rsidR="00450C32" w:rsidRPr="002B1CF0" w:rsidRDefault="00765E19" w:rsidP="00450C32">
            <w:pPr>
              <w:pStyle w:val="Table"/>
            </w:pPr>
            <w:r>
              <w:t>Packaging rules in the qualifications enable flexibility in the selection of electives, including enabling imported electives for broader job roles or industry applications.</w:t>
            </w:r>
          </w:p>
        </w:tc>
      </w:tr>
      <w:tr w:rsidR="00450C32" w:rsidRPr="002B1CF0" w14:paraId="0A9EF92D" w14:textId="77777777" w:rsidTr="00E21128">
        <w:trPr>
          <w:cantSplit/>
          <w:trHeight w:val="823"/>
        </w:trPr>
        <w:tc>
          <w:tcPr>
            <w:tcW w:w="1575" w:type="pct"/>
            <w:tcBorders>
              <w:top w:val="single" w:sz="4" w:space="0" w:color="auto"/>
              <w:left w:val="single" w:sz="4" w:space="0" w:color="auto"/>
              <w:bottom w:val="single" w:sz="4" w:space="0" w:color="auto"/>
              <w:right w:val="single" w:sz="4" w:space="0" w:color="auto"/>
            </w:tcBorders>
            <w:shd w:val="clear" w:color="auto" w:fill="FFFFFF" w:themeFill="background1"/>
          </w:tcPr>
          <w:p w14:paraId="6116A47E" w14:textId="77777777" w:rsidR="00450C32" w:rsidRPr="008D30CD" w:rsidRDefault="00450C32" w:rsidP="00450C32">
            <w:pPr>
              <w:pStyle w:val="Table"/>
            </w:pPr>
            <w:r w:rsidRPr="008D30CD">
              <w:t>Promote national and international portability</w:t>
            </w:r>
          </w:p>
        </w:tc>
        <w:tc>
          <w:tcPr>
            <w:tcW w:w="506" w:type="pct"/>
            <w:tcBorders>
              <w:top w:val="single" w:sz="4" w:space="0" w:color="auto"/>
              <w:left w:val="single" w:sz="4" w:space="0" w:color="auto"/>
              <w:bottom w:val="single" w:sz="4" w:space="0" w:color="auto"/>
              <w:right w:val="single" w:sz="4" w:space="0" w:color="auto"/>
            </w:tcBorders>
            <w:shd w:val="clear" w:color="auto" w:fill="FFFFFF" w:themeFill="background1"/>
          </w:tcPr>
          <w:p w14:paraId="7C58C866" w14:textId="4E423F7D" w:rsidR="00450C32" w:rsidRPr="002B1CF0" w:rsidRDefault="008A7CE1" w:rsidP="00450C32">
            <w:pPr>
              <w:pStyle w:val="Table"/>
            </w:pPr>
            <w:r>
              <w:t>Not applicable</w:t>
            </w:r>
          </w:p>
        </w:tc>
        <w:tc>
          <w:tcPr>
            <w:tcW w:w="2918" w:type="pct"/>
            <w:tcBorders>
              <w:top w:val="single" w:sz="4" w:space="0" w:color="auto"/>
              <w:left w:val="single" w:sz="4" w:space="0" w:color="auto"/>
              <w:bottom w:val="single" w:sz="4" w:space="0" w:color="auto"/>
              <w:right w:val="single" w:sz="4" w:space="0" w:color="auto"/>
            </w:tcBorders>
            <w:shd w:val="clear" w:color="auto" w:fill="FFFFFF" w:themeFill="background1"/>
          </w:tcPr>
          <w:p w14:paraId="750CE44B" w14:textId="24A75311" w:rsidR="00450C32" w:rsidRPr="002B1CF0" w:rsidRDefault="008A7CE1" w:rsidP="00450C32">
            <w:pPr>
              <w:pStyle w:val="Table"/>
            </w:pPr>
            <w:r>
              <w:t>No units of competency have been revised in the components for endorsement.</w:t>
            </w:r>
          </w:p>
        </w:tc>
      </w:tr>
      <w:tr w:rsidR="00450C32" w:rsidRPr="002B1CF0" w14:paraId="77CDBA26" w14:textId="77777777" w:rsidTr="00010458">
        <w:trPr>
          <w:cantSplit/>
          <w:trHeight w:val="691"/>
        </w:trPr>
        <w:tc>
          <w:tcPr>
            <w:tcW w:w="1575" w:type="pct"/>
            <w:tcBorders>
              <w:top w:val="single" w:sz="4" w:space="0" w:color="auto"/>
              <w:left w:val="single" w:sz="4" w:space="0" w:color="auto"/>
              <w:bottom w:val="single" w:sz="4" w:space="0" w:color="auto"/>
              <w:right w:val="single" w:sz="4" w:space="0" w:color="auto"/>
            </w:tcBorders>
            <w:shd w:val="clear" w:color="auto" w:fill="FFFFFF" w:themeFill="background1"/>
          </w:tcPr>
          <w:p w14:paraId="0FC9E46E" w14:textId="77777777" w:rsidR="00450C32" w:rsidRPr="002B1CF0" w:rsidRDefault="00450C32" w:rsidP="00450C32">
            <w:pPr>
              <w:pStyle w:val="Table"/>
            </w:pPr>
            <w:r w:rsidRPr="002B1CF0">
              <w:t>Reflect regulatory requirements and licensing</w:t>
            </w:r>
          </w:p>
        </w:tc>
        <w:tc>
          <w:tcPr>
            <w:tcW w:w="506" w:type="pct"/>
            <w:tcBorders>
              <w:top w:val="single" w:sz="4" w:space="0" w:color="auto"/>
              <w:left w:val="single" w:sz="4" w:space="0" w:color="auto"/>
              <w:bottom w:val="single" w:sz="4" w:space="0" w:color="auto"/>
              <w:right w:val="single" w:sz="4" w:space="0" w:color="auto"/>
            </w:tcBorders>
            <w:shd w:val="clear" w:color="auto" w:fill="FFFFFF" w:themeFill="background1"/>
          </w:tcPr>
          <w:p w14:paraId="5864530A" w14:textId="3B6C490A" w:rsidR="00450C32" w:rsidRPr="002B1CF0" w:rsidRDefault="00F50B93" w:rsidP="00450C32">
            <w:pPr>
              <w:pStyle w:val="Table"/>
            </w:pPr>
            <w:r>
              <w:t>Yes</w:t>
            </w:r>
          </w:p>
        </w:tc>
        <w:tc>
          <w:tcPr>
            <w:tcW w:w="2918" w:type="pct"/>
            <w:tcBorders>
              <w:top w:val="single" w:sz="4" w:space="0" w:color="auto"/>
              <w:left w:val="single" w:sz="4" w:space="0" w:color="auto"/>
              <w:bottom w:val="single" w:sz="4" w:space="0" w:color="auto"/>
              <w:right w:val="single" w:sz="4" w:space="0" w:color="auto"/>
            </w:tcBorders>
            <w:shd w:val="clear" w:color="auto" w:fill="FFFFFF" w:themeFill="background1"/>
          </w:tcPr>
          <w:p w14:paraId="1BD28F3C" w14:textId="7884D76E" w:rsidR="00450C32" w:rsidRPr="002B1CF0" w:rsidRDefault="00765E19" w:rsidP="00450C32">
            <w:pPr>
              <w:pStyle w:val="Table"/>
            </w:pPr>
            <w:r>
              <w:t>Licencing and regulatory requirements for the racing industry vary across jurisdictions. Reference has been made in the qualifications to ensure requirements reflect relevant jurisdictional requirements.</w:t>
            </w:r>
          </w:p>
        </w:tc>
      </w:tr>
    </w:tbl>
    <w:p w14:paraId="263F4222" w14:textId="77777777" w:rsidR="00EB1A80" w:rsidRPr="009B2119" w:rsidRDefault="00EB1A80" w:rsidP="00496DE4">
      <w:pPr>
        <w:spacing w:before="0" w:after="0" w:line="240" w:lineRule="auto"/>
        <w:rPr>
          <w:b/>
        </w:rPr>
      </w:pPr>
    </w:p>
    <w:p w14:paraId="54121186" w14:textId="29CFDC32" w:rsidR="00496DE4" w:rsidRPr="00E21128" w:rsidRDefault="00E03C9E" w:rsidP="00496DE4">
      <w:pPr>
        <w:spacing w:before="0" w:after="0" w:line="240" w:lineRule="auto"/>
        <w:rPr>
          <w:b/>
          <w:sz w:val="24"/>
          <w:szCs w:val="24"/>
        </w:rPr>
      </w:pPr>
      <w:r w:rsidRPr="00E21128">
        <w:rPr>
          <w:b/>
          <w:sz w:val="24"/>
          <w:szCs w:val="24"/>
        </w:rPr>
        <w:lastRenderedPageBreak/>
        <w:t>Quality principle 3:</w:t>
      </w:r>
      <w:r w:rsidR="007935D5" w:rsidRPr="00E21128">
        <w:rPr>
          <w:b/>
          <w:sz w:val="24"/>
          <w:szCs w:val="24"/>
        </w:rPr>
        <w:t xml:space="preserve"> Reflect national agreement about the core transferable skills and core job-specific skills required for job roles as identified by industry</w:t>
      </w:r>
    </w:p>
    <w:tbl>
      <w:tblPr>
        <w:tblStyle w:val="LightList-Accent11"/>
        <w:tblW w:w="5307" w:type="pct"/>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F7F8D2" w:themeFill="accent5" w:themeFillTint="33"/>
        <w:tblCellMar>
          <w:top w:w="113" w:type="dxa"/>
          <w:left w:w="113" w:type="dxa"/>
          <w:bottom w:w="113" w:type="dxa"/>
          <w:right w:w="113" w:type="dxa"/>
        </w:tblCellMar>
        <w:tblLook w:val="0600" w:firstRow="0" w:lastRow="0" w:firstColumn="0" w:lastColumn="0" w:noHBand="1" w:noVBand="1"/>
      </w:tblPr>
      <w:tblGrid>
        <w:gridCol w:w="3128"/>
        <w:gridCol w:w="1004"/>
        <w:gridCol w:w="5786"/>
      </w:tblGrid>
      <w:tr w:rsidR="00450C32" w:rsidRPr="000E1F17" w14:paraId="23EEEF3F" w14:textId="77777777" w:rsidTr="008F0858">
        <w:trPr>
          <w:cantSplit/>
          <w:tblHeader/>
        </w:trPr>
        <w:tc>
          <w:tcPr>
            <w:tcW w:w="1590" w:type="pct"/>
            <w:tcBorders>
              <w:top w:val="single" w:sz="4" w:space="0" w:color="auto"/>
              <w:left w:val="single" w:sz="4" w:space="0" w:color="auto"/>
              <w:bottom w:val="single" w:sz="4" w:space="0" w:color="auto"/>
              <w:right w:val="single" w:sz="4" w:space="0" w:color="auto"/>
            </w:tcBorders>
            <w:shd w:val="clear" w:color="auto" w:fill="1B75BC" w:themeFill="text2"/>
          </w:tcPr>
          <w:p w14:paraId="543722A3" w14:textId="0C8FAE7A" w:rsidR="00450C32" w:rsidRPr="000E1F17" w:rsidRDefault="00450C32" w:rsidP="00450C32">
            <w:pPr>
              <w:pStyle w:val="Table"/>
              <w:rPr>
                <w:color w:val="FFFFFF" w:themeColor="background1"/>
              </w:rPr>
            </w:pPr>
            <w:r w:rsidRPr="000E1F17">
              <w:rPr>
                <w:color w:val="FFFFFF" w:themeColor="background1"/>
              </w:rPr>
              <w:t>Key features</w:t>
            </w:r>
          </w:p>
        </w:tc>
        <w:tc>
          <w:tcPr>
            <w:tcW w:w="480" w:type="pct"/>
            <w:tcBorders>
              <w:top w:val="single" w:sz="4" w:space="0" w:color="auto"/>
              <w:left w:val="single" w:sz="4" w:space="0" w:color="auto"/>
              <w:bottom w:val="single" w:sz="4" w:space="0" w:color="auto"/>
              <w:right w:val="single" w:sz="4" w:space="0" w:color="auto"/>
            </w:tcBorders>
            <w:shd w:val="clear" w:color="auto" w:fill="1B75BC" w:themeFill="text2"/>
          </w:tcPr>
          <w:p w14:paraId="2CB17076" w14:textId="3B4A13A4" w:rsidR="00450C32" w:rsidRPr="000E1F17" w:rsidRDefault="008F0858" w:rsidP="00450C32">
            <w:pPr>
              <w:pStyle w:val="Table"/>
              <w:rPr>
                <w:color w:val="FFFFFF" w:themeColor="background1"/>
              </w:rPr>
            </w:pPr>
            <w:r w:rsidRPr="008F0858">
              <w:rPr>
                <w:color w:val="FFFFFF" w:themeColor="background1"/>
              </w:rPr>
              <w:t>Quality principle is met: Yes / No or N/A</w:t>
            </w:r>
          </w:p>
        </w:tc>
        <w:tc>
          <w:tcPr>
            <w:tcW w:w="2930" w:type="pct"/>
            <w:tcBorders>
              <w:top w:val="single" w:sz="4" w:space="0" w:color="auto"/>
              <w:left w:val="single" w:sz="4" w:space="0" w:color="auto"/>
              <w:bottom w:val="single" w:sz="4" w:space="0" w:color="auto"/>
              <w:right w:val="single" w:sz="4" w:space="0" w:color="auto"/>
            </w:tcBorders>
            <w:shd w:val="clear" w:color="auto" w:fill="1B75BC" w:themeFill="text2"/>
          </w:tcPr>
          <w:p w14:paraId="7CC2E6AE" w14:textId="77777777" w:rsidR="008F0858" w:rsidRPr="008F0858" w:rsidRDefault="008F0858" w:rsidP="008F0858">
            <w:pPr>
              <w:pStyle w:val="Table"/>
              <w:rPr>
                <w:color w:val="FFFFFF" w:themeColor="background1"/>
              </w:rPr>
            </w:pPr>
            <w:r w:rsidRPr="008F0858">
              <w:rPr>
                <w:color w:val="FFFFFF" w:themeColor="background1"/>
              </w:rPr>
              <w:t xml:space="preserve">Evidence demonstrating compliance with the quality principle </w:t>
            </w:r>
          </w:p>
          <w:p w14:paraId="4146C920" w14:textId="77777777" w:rsidR="00450C32" w:rsidRPr="00F31F36" w:rsidRDefault="00450C32" w:rsidP="00450C32">
            <w:pPr>
              <w:pStyle w:val="Table"/>
              <w:rPr>
                <w:color w:val="FFFFFF" w:themeColor="background1"/>
                <w:sz w:val="16"/>
                <w:szCs w:val="16"/>
              </w:rPr>
            </w:pPr>
          </w:p>
          <w:p w14:paraId="2E343556" w14:textId="6090923A" w:rsidR="00450C32" w:rsidRPr="00F31F36" w:rsidRDefault="005B01E2" w:rsidP="00450C32">
            <w:pPr>
              <w:pStyle w:val="Table"/>
              <w:rPr>
                <w:color w:val="FFFFFF" w:themeColor="background1"/>
              </w:rPr>
            </w:pPr>
            <w:r>
              <w:rPr>
                <w:color w:val="FFFFFF" w:themeColor="background1"/>
              </w:rPr>
              <w:t>P</w:t>
            </w:r>
            <w:r w:rsidR="00450C32">
              <w:rPr>
                <w:color w:val="FFFFFF" w:themeColor="background1"/>
              </w:rPr>
              <w:t xml:space="preserve">lease see examples of evidence in the </w:t>
            </w:r>
            <w:r w:rsidR="00450C32" w:rsidRPr="00B52142">
              <w:rPr>
                <w:i/>
                <w:color w:val="FFFFFF" w:themeColor="background1"/>
              </w:rPr>
              <w:t>Training Package Development and Endorsement Process Policy</w:t>
            </w:r>
          </w:p>
        </w:tc>
      </w:tr>
      <w:tr w:rsidR="00450C32" w:rsidRPr="003C2812" w14:paraId="2C62DAF9" w14:textId="77777777" w:rsidTr="008F0858">
        <w:trPr>
          <w:cantSplit/>
          <w:trHeight w:val="527"/>
        </w:trPr>
        <w:tc>
          <w:tcPr>
            <w:tcW w:w="1590" w:type="pct"/>
            <w:tcBorders>
              <w:top w:val="single" w:sz="4" w:space="0" w:color="auto"/>
              <w:left w:val="single" w:sz="4" w:space="0" w:color="auto"/>
              <w:bottom w:val="single" w:sz="4" w:space="0" w:color="auto"/>
              <w:right w:val="single" w:sz="4" w:space="0" w:color="auto"/>
            </w:tcBorders>
            <w:shd w:val="clear" w:color="auto" w:fill="FFFFFF" w:themeFill="background1"/>
          </w:tcPr>
          <w:p w14:paraId="205D16E9" w14:textId="77777777" w:rsidR="00450C32" w:rsidRPr="003C2812" w:rsidRDefault="00450C32" w:rsidP="00450C32">
            <w:pPr>
              <w:pStyle w:val="Table"/>
            </w:pPr>
            <w:r w:rsidRPr="003C2812">
              <w:t xml:space="preserve">Reflect national consensus </w:t>
            </w:r>
          </w:p>
        </w:tc>
        <w:tc>
          <w:tcPr>
            <w:tcW w:w="480" w:type="pct"/>
            <w:tcBorders>
              <w:top w:val="single" w:sz="4" w:space="0" w:color="auto"/>
              <w:left w:val="single" w:sz="4" w:space="0" w:color="auto"/>
              <w:bottom w:val="single" w:sz="4" w:space="0" w:color="auto"/>
              <w:right w:val="single" w:sz="4" w:space="0" w:color="auto"/>
            </w:tcBorders>
            <w:shd w:val="clear" w:color="auto" w:fill="FFFFFF" w:themeFill="background1"/>
          </w:tcPr>
          <w:p w14:paraId="1AA191DD" w14:textId="64E686BC" w:rsidR="00450C32" w:rsidRPr="003C2812" w:rsidRDefault="00F50B93" w:rsidP="00450C32">
            <w:pPr>
              <w:pStyle w:val="Table"/>
            </w:pPr>
            <w:r>
              <w:t>Yes</w:t>
            </w:r>
          </w:p>
        </w:tc>
        <w:tc>
          <w:tcPr>
            <w:tcW w:w="2930" w:type="pct"/>
            <w:tcBorders>
              <w:top w:val="single" w:sz="4" w:space="0" w:color="auto"/>
              <w:left w:val="single" w:sz="4" w:space="0" w:color="auto"/>
              <w:bottom w:val="single" w:sz="4" w:space="0" w:color="auto"/>
              <w:right w:val="single" w:sz="4" w:space="0" w:color="auto"/>
            </w:tcBorders>
            <w:shd w:val="clear" w:color="auto" w:fill="FFFFFF" w:themeFill="background1"/>
          </w:tcPr>
          <w:p w14:paraId="081D60FB" w14:textId="46D461E1" w:rsidR="00450C32" w:rsidRDefault="00765E19" w:rsidP="00450C32">
            <w:pPr>
              <w:pStyle w:val="Table"/>
            </w:pPr>
            <w:r>
              <w:t>Stakeholders from national industry racing associations have confirmed agreement with the changes made to the qualifications to remove the BSB micro business units from core to elective in the Certificate IV qualification</w:t>
            </w:r>
            <w:r w:rsidR="00E73643">
              <w:t xml:space="preserve"> </w:t>
            </w:r>
            <w:r>
              <w:t xml:space="preserve">and move the </w:t>
            </w:r>
            <w:r w:rsidR="00E73643">
              <w:t>horse specific unit from core to elective in the Certificate II qualification.</w:t>
            </w:r>
          </w:p>
          <w:p w14:paraId="43659DC8" w14:textId="75BFB049" w:rsidR="00E73643" w:rsidRPr="003C2812" w:rsidRDefault="00E73643" w:rsidP="00450C32">
            <w:pPr>
              <w:pStyle w:val="Table"/>
            </w:pPr>
            <w:r>
              <w:t xml:space="preserve">The </w:t>
            </w:r>
            <w:proofErr w:type="spellStart"/>
            <w:r>
              <w:t>CfE</w:t>
            </w:r>
            <w:proofErr w:type="spellEnd"/>
            <w:r>
              <w:t xml:space="preserve"> identifies some varying opinion on inclusion of licencing requirements (health and fitness, weight for specified riding classes etc) as ‘entry requirements’, information which has been included as recommended Consideration in the CVIG.</w:t>
            </w:r>
          </w:p>
        </w:tc>
      </w:tr>
      <w:tr w:rsidR="00450C32" w:rsidRPr="003C2812" w14:paraId="0298993D" w14:textId="77777777" w:rsidTr="008F0858">
        <w:trPr>
          <w:cantSplit/>
          <w:trHeight w:val="751"/>
        </w:trPr>
        <w:tc>
          <w:tcPr>
            <w:tcW w:w="1590" w:type="pct"/>
            <w:tcBorders>
              <w:top w:val="single" w:sz="4" w:space="0" w:color="auto"/>
              <w:left w:val="single" w:sz="4" w:space="0" w:color="auto"/>
              <w:bottom w:val="single" w:sz="4" w:space="0" w:color="auto"/>
              <w:right w:val="single" w:sz="4" w:space="0" w:color="auto"/>
            </w:tcBorders>
            <w:shd w:val="clear" w:color="auto" w:fill="FFFFFF" w:themeFill="background1"/>
          </w:tcPr>
          <w:p w14:paraId="677749B6" w14:textId="77777777" w:rsidR="00450C32" w:rsidRPr="003C2812" w:rsidRDefault="00450C32" w:rsidP="00450C32">
            <w:pPr>
              <w:pStyle w:val="Table"/>
            </w:pPr>
            <w:r w:rsidRPr="003C2812">
              <w:t>Recognise convergence and connectivity of skills</w:t>
            </w:r>
          </w:p>
        </w:tc>
        <w:tc>
          <w:tcPr>
            <w:tcW w:w="480" w:type="pct"/>
            <w:tcBorders>
              <w:top w:val="single" w:sz="4" w:space="0" w:color="auto"/>
              <w:left w:val="single" w:sz="4" w:space="0" w:color="auto"/>
              <w:bottom w:val="single" w:sz="4" w:space="0" w:color="auto"/>
              <w:right w:val="single" w:sz="4" w:space="0" w:color="auto"/>
            </w:tcBorders>
            <w:shd w:val="clear" w:color="auto" w:fill="FFFFFF" w:themeFill="background1"/>
          </w:tcPr>
          <w:p w14:paraId="362D8BAA" w14:textId="63B055C3" w:rsidR="00450C32" w:rsidRPr="003C2812" w:rsidRDefault="00F50B93" w:rsidP="00450C32">
            <w:pPr>
              <w:pStyle w:val="Table"/>
            </w:pPr>
            <w:r>
              <w:t>Yes</w:t>
            </w:r>
          </w:p>
        </w:tc>
        <w:tc>
          <w:tcPr>
            <w:tcW w:w="2930" w:type="pct"/>
            <w:tcBorders>
              <w:top w:val="single" w:sz="4" w:space="0" w:color="auto"/>
              <w:left w:val="single" w:sz="4" w:space="0" w:color="auto"/>
              <w:bottom w:val="single" w:sz="4" w:space="0" w:color="auto"/>
              <w:right w:val="single" w:sz="4" w:space="0" w:color="auto"/>
            </w:tcBorders>
            <w:shd w:val="clear" w:color="auto" w:fill="FFFFFF" w:themeFill="background1"/>
          </w:tcPr>
          <w:p w14:paraId="0C53B6CD" w14:textId="1D7053AC" w:rsidR="00450C32" w:rsidRPr="003C2812" w:rsidRDefault="00E73643" w:rsidP="00450C32">
            <w:pPr>
              <w:pStyle w:val="Table"/>
            </w:pPr>
            <w:r>
              <w:t xml:space="preserve">Both qualifications proposed for endorsement include imported units from other nationally endorsed training packages (ACM, BSB, AHC, HLT, SIT, SIS, PSP) as listed </w:t>
            </w:r>
            <w:r w:rsidR="005D7380">
              <w:t>electives, and allow for import of units within the packaging rules.</w:t>
            </w:r>
          </w:p>
        </w:tc>
      </w:tr>
    </w:tbl>
    <w:p w14:paraId="6C44E2D7" w14:textId="41A1EFB4" w:rsidR="001C028F" w:rsidRPr="009B2119" w:rsidRDefault="001C028F" w:rsidP="0003563F">
      <w:pPr>
        <w:spacing w:before="0" w:after="0" w:line="240" w:lineRule="auto"/>
        <w:rPr>
          <w:rFonts w:cs="Arial"/>
        </w:rPr>
      </w:pPr>
    </w:p>
    <w:p w14:paraId="7C75A8D9" w14:textId="37914D6D" w:rsidR="00EB1A80" w:rsidRPr="00E21128" w:rsidRDefault="00EB1A80" w:rsidP="0003563F">
      <w:pPr>
        <w:spacing w:before="0" w:after="0" w:line="240" w:lineRule="auto"/>
        <w:rPr>
          <w:rFonts w:cs="Arial"/>
          <w:sz w:val="24"/>
          <w:szCs w:val="24"/>
        </w:rPr>
      </w:pPr>
      <w:r w:rsidRPr="00E21128">
        <w:rPr>
          <w:b/>
          <w:bCs/>
          <w:iCs/>
          <w:sz w:val="24"/>
          <w:szCs w:val="24"/>
        </w:rPr>
        <w:t>Quality principle 4: Be flexible to meet the diversity of individual and employer needs including the capacity to adapt to changing job roles and workplaces</w:t>
      </w:r>
    </w:p>
    <w:tbl>
      <w:tblPr>
        <w:tblStyle w:val="LightList-Accent11"/>
        <w:tblW w:w="5307" w:type="pct"/>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D3EDF9" w:themeFill="accent4" w:themeFillTint="33"/>
        <w:tblCellMar>
          <w:top w:w="113" w:type="dxa"/>
          <w:left w:w="113" w:type="dxa"/>
          <w:bottom w:w="113" w:type="dxa"/>
          <w:right w:w="113" w:type="dxa"/>
        </w:tblCellMar>
        <w:tblLook w:val="0600" w:firstRow="0" w:lastRow="0" w:firstColumn="0" w:lastColumn="0" w:noHBand="1" w:noVBand="1"/>
      </w:tblPr>
      <w:tblGrid>
        <w:gridCol w:w="3128"/>
        <w:gridCol w:w="1004"/>
        <w:gridCol w:w="5786"/>
      </w:tblGrid>
      <w:tr w:rsidR="00EB1A80" w:rsidRPr="00900302" w14:paraId="65A2D094" w14:textId="77777777" w:rsidTr="008F0858">
        <w:trPr>
          <w:cantSplit/>
          <w:tblHeader/>
        </w:trPr>
        <w:tc>
          <w:tcPr>
            <w:tcW w:w="1590" w:type="pct"/>
            <w:tcBorders>
              <w:top w:val="single" w:sz="4" w:space="0" w:color="auto"/>
              <w:left w:val="single" w:sz="4" w:space="0" w:color="auto"/>
              <w:bottom w:val="single" w:sz="4" w:space="0" w:color="auto"/>
              <w:right w:val="single" w:sz="4" w:space="0" w:color="auto"/>
            </w:tcBorders>
            <w:shd w:val="clear" w:color="auto" w:fill="1B75BC" w:themeFill="text2"/>
          </w:tcPr>
          <w:p w14:paraId="1FBB82B7" w14:textId="77777777" w:rsidR="00EB1A80" w:rsidRPr="000E1F17" w:rsidRDefault="00EB1A80" w:rsidP="00130D1D">
            <w:pPr>
              <w:pStyle w:val="Table"/>
              <w:rPr>
                <w:color w:val="FFFFFF" w:themeColor="background1"/>
              </w:rPr>
            </w:pPr>
            <w:r w:rsidRPr="000E1F17">
              <w:rPr>
                <w:color w:val="FFFFFF" w:themeColor="background1"/>
              </w:rPr>
              <w:t>Key features</w:t>
            </w:r>
          </w:p>
        </w:tc>
        <w:tc>
          <w:tcPr>
            <w:tcW w:w="480" w:type="pct"/>
            <w:tcBorders>
              <w:top w:val="single" w:sz="4" w:space="0" w:color="auto"/>
              <w:left w:val="single" w:sz="4" w:space="0" w:color="auto"/>
              <w:bottom w:val="single" w:sz="4" w:space="0" w:color="auto"/>
              <w:right w:val="single" w:sz="4" w:space="0" w:color="auto"/>
            </w:tcBorders>
            <w:shd w:val="clear" w:color="auto" w:fill="1B75BC" w:themeFill="text2"/>
          </w:tcPr>
          <w:p w14:paraId="77927560" w14:textId="6006137B" w:rsidR="00EB1A80" w:rsidRPr="000E1F17" w:rsidRDefault="008F0858" w:rsidP="00130D1D">
            <w:pPr>
              <w:pStyle w:val="Table"/>
              <w:rPr>
                <w:color w:val="FFFFFF" w:themeColor="background1"/>
              </w:rPr>
            </w:pPr>
            <w:r w:rsidRPr="008F0858">
              <w:rPr>
                <w:color w:val="FFFFFF" w:themeColor="background1"/>
              </w:rPr>
              <w:t>Quality principle is met: Yes / No or N/A</w:t>
            </w:r>
          </w:p>
        </w:tc>
        <w:tc>
          <w:tcPr>
            <w:tcW w:w="2930" w:type="pct"/>
            <w:tcBorders>
              <w:top w:val="single" w:sz="4" w:space="0" w:color="auto"/>
              <w:left w:val="single" w:sz="4" w:space="0" w:color="auto"/>
              <w:bottom w:val="single" w:sz="4" w:space="0" w:color="auto"/>
              <w:right w:val="single" w:sz="4" w:space="0" w:color="auto"/>
            </w:tcBorders>
            <w:shd w:val="clear" w:color="auto" w:fill="1B75BC" w:themeFill="text2"/>
          </w:tcPr>
          <w:p w14:paraId="43EDE3FC" w14:textId="77777777" w:rsidR="008F0858" w:rsidRPr="008F0858" w:rsidRDefault="008F0858" w:rsidP="008F0858">
            <w:pPr>
              <w:pStyle w:val="Table"/>
              <w:rPr>
                <w:color w:val="FFFFFF" w:themeColor="background1"/>
              </w:rPr>
            </w:pPr>
            <w:r w:rsidRPr="008F0858">
              <w:rPr>
                <w:color w:val="FFFFFF" w:themeColor="background1"/>
              </w:rPr>
              <w:t xml:space="preserve">Evidence demonstrating compliance with the quality principle </w:t>
            </w:r>
          </w:p>
          <w:p w14:paraId="5A5A0F99" w14:textId="77777777" w:rsidR="00EB1A80" w:rsidRPr="00010458" w:rsidRDefault="00EB1A80" w:rsidP="00130D1D">
            <w:pPr>
              <w:pStyle w:val="Table"/>
              <w:rPr>
                <w:color w:val="FFFFFF" w:themeColor="background1"/>
                <w:sz w:val="16"/>
                <w:szCs w:val="16"/>
              </w:rPr>
            </w:pPr>
          </w:p>
          <w:p w14:paraId="4C153BC5" w14:textId="33A84333" w:rsidR="00EB1A80" w:rsidRPr="00900302" w:rsidRDefault="005B01E2" w:rsidP="00130D1D">
            <w:pPr>
              <w:pStyle w:val="Table"/>
              <w:rPr>
                <w:color w:val="FFFFFF" w:themeColor="background1"/>
              </w:rPr>
            </w:pPr>
            <w:r>
              <w:rPr>
                <w:color w:val="FFFFFF" w:themeColor="background1"/>
              </w:rPr>
              <w:t>P</w:t>
            </w:r>
            <w:r w:rsidR="00EB1A80">
              <w:rPr>
                <w:color w:val="FFFFFF" w:themeColor="background1"/>
              </w:rPr>
              <w:t xml:space="preserve">lease see examples of evidence in the </w:t>
            </w:r>
            <w:r w:rsidR="00EB1A80" w:rsidRPr="00B52142">
              <w:rPr>
                <w:i/>
                <w:color w:val="FFFFFF" w:themeColor="background1"/>
              </w:rPr>
              <w:t>Training Package Development and Endorsement Process Policy</w:t>
            </w:r>
          </w:p>
        </w:tc>
      </w:tr>
      <w:tr w:rsidR="00EB1A80" w:rsidRPr="003C2812" w14:paraId="1C830F4F" w14:textId="77777777" w:rsidTr="008F0858">
        <w:trPr>
          <w:cantSplit/>
        </w:trPr>
        <w:tc>
          <w:tcPr>
            <w:tcW w:w="1590" w:type="pct"/>
            <w:tcBorders>
              <w:top w:val="single" w:sz="4" w:space="0" w:color="auto"/>
              <w:left w:val="single" w:sz="4" w:space="0" w:color="auto"/>
              <w:bottom w:val="single" w:sz="4" w:space="0" w:color="auto"/>
              <w:right w:val="single" w:sz="4" w:space="0" w:color="auto"/>
            </w:tcBorders>
            <w:shd w:val="clear" w:color="auto" w:fill="FFFFFF" w:themeFill="background1"/>
          </w:tcPr>
          <w:p w14:paraId="322899B4" w14:textId="77777777" w:rsidR="00EB1A80" w:rsidRPr="003C2812" w:rsidRDefault="00EB1A80" w:rsidP="00130D1D">
            <w:pPr>
              <w:pStyle w:val="Table"/>
            </w:pPr>
            <w:r w:rsidRPr="003C2812">
              <w:t>Meet the diversity of individual and employer needs</w:t>
            </w:r>
          </w:p>
        </w:tc>
        <w:tc>
          <w:tcPr>
            <w:tcW w:w="480" w:type="pct"/>
            <w:tcBorders>
              <w:top w:val="single" w:sz="4" w:space="0" w:color="auto"/>
              <w:left w:val="single" w:sz="4" w:space="0" w:color="auto"/>
              <w:bottom w:val="single" w:sz="4" w:space="0" w:color="auto"/>
              <w:right w:val="single" w:sz="4" w:space="0" w:color="auto"/>
            </w:tcBorders>
            <w:shd w:val="clear" w:color="auto" w:fill="FFFFFF" w:themeFill="background1"/>
          </w:tcPr>
          <w:p w14:paraId="5A9D635C" w14:textId="01FCCCE5" w:rsidR="00EB1A80" w:rsidRPr="003C2812" w:rsidRDefault="008A7CE1" w:rsidP="00130D1D">
            <w:pPr>
              <w:pStyle w:val="Table"/>
            </w:pPr>
            <w:r>
              <w:t>Yes</w:t>
            </w:r>
          </w:p>
        </w:tc>
        <w:tc>
          <w:tcPr>
            <w:tcW w:w="2930" w:type="pct"/>
            <w:tcBorders>
              <w:top w:val="single" w:sz="4" w:space="0" w:color="auto"/>
              <w:left w:val="single" w:sz="4" w:space="0" w:color="auto"/>
              <w:bottom w:val="single" w:sz="4" w:space="0" w:color="auto"/>
              <w:right w:val="single" w:sz="4" w:space="0" w:color="auto"/>
            </w:tcBorders>
            <w:shd w:val="clear" w:color="auto" w:fill="FFFFFF" w:themeFill="background1"/>
          </w:tcPr>
          <w:p w14:paraId="6D03F3E5" w14:textId="77777777" w:rsidR="00EB1A80" w:rsidRDefault="001F47F6" w:rsidP="00130D1D">
            <w:pPr>
              <w:pStyle w:val="Table"/>
            </w:pPr>
            <w:r>
              <w:t xml:space="preserve">The Certificate II enables application via streams to range of roles in </w:t>
            </w:r>
            <w:r w:rsidR="008549D1">
              <w:t xml:space="preserve">broader </w:t>
            </w:r>
            <w:r>
              <w:t>racing industry</w:t>
            </w:r>
            <w:r w:rsidR="008549D1">
              <w:t xml:space="preserve">, and removal of </w:t>
            </w:r>
            <w:r w:rsidR="008549D1" w:rsidRPr="008549D1">
              <w:rPr>
                <w:i/>
                <w:iCs/>
              </w:rPr>
              <w:t>ACMEQU205 Apply knowledge of horse behaviour</w:t>
            </w:r>
            <w:r w:rsidR="008549D1">
              <w:t xml:space="preserve"> from core, enables application to individuals/employers without direct involvement with animals. </w:t>
            </w:r>
          </w:p>
          <w:p w14:paraId="62F99983" w14:textId="041388A4" w:rsidR="008549D1" w:rsidRPr="003C2812" w:rsidRDefault="008549D1" w:rsidP="00130D1D">
            <w:pPr>
              <w:pStyle w:val="Table"/>
            </w:pPr>
            <w:r>
              <w:t>Both qualifications proposed for endorsement enable flexible application for individual and employee needs through the selection of appropriate electives, including imported electives.</w:t>
            </w:r>
          </w:p>
        </w:tc>
      </w:tr>
      <w:tr w:rsidR="00EB1A80" w:rsidRPr="003C2812" w14:paraId="544A1BC8" w14:textId="77777777" w:rsidTr="008F0858">
        <w:trPr>
          <w:cantSplit/>
        </w:trPr>
        <w:tc>
          <w:tcPr>
            <w:tcW w:w="1590" w:type="pct"/>
            <w:tcBorders>
              <w:top w:val="single" w:sz="4" w:space="0" w:color="auto"/>
              <w:left w:val="single" w:sz="4" w:space="0" w:color="auto"/>
              <w:bottom w:val="single" w:sz="4" w:space="0" w:color="auto"/>
              <w:right w:val="single" w:sz="4" w:space="0" w:color="auto"/>
            </w:tcBorders>
            <w:shd w:val="clear" w:color="auto" w:fill="FFFFFF" w:themeFill="background1"/>
          </w:tcPr>
          <w:p w14:paraId="6AEEFF92" w14:textId="77777777" w:rsidR="00EB1A80" w:rsidRPr="003C2812" w:rsidRDefault="00EB1A80" w:rsidP="00130D1D">
            <w:pPr>
              <w:pStyle w:val="Table"/>
            </w:pPr>
            <w:r w:rsidRPr="003C2812">
              <w:lastRenderedPageBreak/>
              <w:t>Support equitable access and progression of learners</w:t>
            </w:r>
          </w:p>
        </w:tc>
        <w:tc>
          <w:tcPr>
            <w:tcW w:w="480" w:type="pct"/>
            <w:tcBorders>
              <w:top w:val="single" w:sz="4" w:space="0" w:color="auto"/>
              <w:left w:val="single" w:sz="4" w:space="0" w:color="auto"/>
              <w:bottom w:val="single" w:sz="4" w:space="0" w:color="auto"/>
              <w:right w:val="single" w:sz="4" w:space="0" w:color="auto"/>
            </w:tcBorders>
            <w:shd w:val="clear" w:color="auto" w:fill="FFFFFF" w:themeFill="background1"/>
          </w:tcPr>
          <w:p w14:paraId="6DCF74E1" w14:textId="0E30F05C" w:rsidR="00EB1A80" w:rsidRPr="003C2812" w:rsidRDefault="008A7CE1" w:rsidP="00130D1D">
            <w:pPr>
              <w:pStyle w:val="Table"/>
            </w:pPr>
            <w:r>
              <w:t>Yes</w:t>
            </w:r>
          </w:p>
        </w:tc>
        <w:tc>
          <w:tcPr>
            <w:tcW w:w="2930" w:type="pct"/>
            <w:tcBorders>
              <w:top w:val="single" w:sz="4" w:space="0" w:color="auto"/>
              <w:left w:val="single" w:sz="4" w:space="0" w:color="auto"/>
              <w:bottom w:val="single" w:sz="4" w:space="0" w:color="auto"/>
              <w:right w:val="single" w:sz="4" w:space="0" w:color="auto"/>
            </w:tcBorders>
            <w:shd w:val="clear" w:color="auto" w:fill="FFFFFF" w:themeFill="background1"/>
          </w:tcPr>
          <w:p w14:paraId="5F6CE5A0" w14:textId="77777777" w:rsidR="00EB1A80" w:rsidRDefault="005D7380" w:rsidP="00130D1D">
            <w:pPr>
              <w:pStyle w:val="Table"/>
            </w:pPr>
            <w:r>
              <w:t xml:space="preserve">Entry requirements for the Certificate IV in Racing (Jockey) are expressed, as required by the TPPP as competencies </w:t>
            </w:r>
            <w:r w:rsidR="008549D1">
              <w:t>with wording indicating competency</w:t>
            </w:r>
            <w:r>
              <w:t xml:space="preserve"> can be attained via completion of units/qualifications and/or relevant industry experience.</w:t>
            </w:r>
            <w:r w:rsidR="008549D1">
              <w:t xml:space="preserve"> </w:t>
            </w:r>
          </w:p>
          <w:p w14:paraId="4AC3CADB" w14:textId="6E2312FD" w:rsidR="00E31CFC" w:rsidRPr="003C2812" w:rsidRDefault="00E31CFC" w:rsidP="00130D1D">
            <w:pPr>
              <w:pStyle w:val="Table"/>
            </w:pPr>
            <w:r>
              <w:t xml:space="preserve">Units of competency have not been reviewed in this project, so existing units with prerequisites, including chains of prerequisites remain unchanged. Changes were made to include units that are prerequisites for core units as core units, rather than electives to clarify the Certificate IV qualification structure for RTOs. </w:t>
            </w:r>
          </w:p>
        </w:tc>
      </w:tr>
    </w:tbl>
    <w:p w14:paraId="62DE3E07" w14:textId="77777777" w:rsidR="00E21128" w:rsidRPr="009B2119" w:rsidRDefault="00E21128" w:rsidP="00E21128">
      <w:pPr>
        <w:shd w:val="clear" w:color="auto" w:fill="FFFFFF" w:themeFill="background1"/>
        <w:spacing w:before="0" w:after="0" w:line="240" w:lineRule="auto"/>
        <w:rPr>
          <w:b/>
        </w:rPr>
      </w:pPr>
    </w:p>
    <w:p w14:paraId="6DA3E98B" w14:textId="48601DAF" w:rsidR="003E1A75" w:rsidRPr="00E21128" w:rsidRDefault="00E21128" w:rsidP="00E21128">
      <w:pPr>
        <w:shd w:val="clear" w:color="auto" w:fill="FFFFFF" w:themeFill="background1"/>
        <w:spacing w:before="0" w:after="0" w:line="240" w:lineRule="auto"/>
        <w:rPr>
          <w:b/>
          <w:sz w:val="24"/>
          <w:szCs w:val="24"/>
        </w:rPr>
      </w:pPr>
      <w:r w:rsidRPr="00E21128">
        <w:rPr>
          <w:b/>
          <w:sz w:val="24"/>
          <w:szCs w:val="24"/>
        </w:rPr>
        <w:t>Quality principle 5: Facilitate recognition of an individual’s skills and knowledge and support movement between the school, vocational education and higher education sectors</w:t>
      </w:r>
    </w:p>
    <w:tbl>
      <w:tblPr>
        <w:tblStyle w:val="LightList-Accent11"/>
        <w:tblW w:w="5307" w:type="pct"/>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F2F2F2" w:themeFill="background1" w:themeFillShade="F2"/>
        <w:tblCellMar>
          <w:top w:w="113" w:type="dxa"/>
          <w:left w:w="113" w:type="dxa"/>
          <w:bottom w:w="113" w:type="dxa"/>
          <w:right w:w="113" w:type="dxa"/>
        </w:tblCellMar>
        <w:tblLook w:val="0600" w:firstRow="0" w:lastRow="0" w:firstColumn="0" w:lastColumn="0" w:noHBand="1" w:noVBand="1"/>
      </w:tblPr>
      <w:tblGrid>
        <w:gridCol w:w="3128"/>
        <w:gridCol w:w="1004"/>
        <w:gridCol w:w="5786"/>
      </w:tblGrid>
      <w:tr w:rsidR="00E21128" w:rsidRPr="00900302" w14:paraId="092ED6F7" w14:textId="77777777" w:rsidTr="008F0858">
        <w:trPr>
          <w:cantSplit/>
          <w:tblHeader/>
        </w:trPr>
        <w:tc>
          <w:tcPr>
            <w:tcW w:w="1590" w:type="pct"/>
            <w:tcBorders>
              <w:top w:val="single" w:sz="4" w:space="0" w:color="auto"/>
              <w:left w:val="single" w:sz="4" w:space="0" w:color="auto"/>
              <w:bottom w:val="single" w:sz="4" w:space="0" w:color="auto"/>
              <w:right w:val="single" w:sz="4" w:space="0" w:color="auto"/>
            </w:tcBorders>
            <w:shd w:val="clear" w:color="auto" w:fill="1B75BC" w:themeFill="text2"/>
          </w:tcPr>
          <w:p w14:paraId="64CD84F4" w14:textId="77777777" w:rsidR="00E21128" w:rsidRPr="000E1F17" w:rsidRDefault="00E21128" w:rsidP="00130D1D">
            <w:pPr>
              <w:pStyle w:val="Table"/>
              <w:rPr>
                <w:color w:val="FFFFFF" w:themeColor="background1"/>
              </w:rPr>
            </w:pPr>
            <w:r w:rsidRPr="000E1F17">
              <w:rPr>
                <w:color w:val="FFFFFF" w:themeColor="background1"/>
              </w:rPr>
              <w:t>Key features</w:t>
            </w:r>
          </w:p>
        </w:tc>
        <w:tc>
          <w:tcPr>
            <w:tcW w:w="480" w:type="pct"/>
            <w:tcBorders>
              <w:top w:val="single" w:sz="4" w:space="0" w:color="auto"/>
              <w:left w:val="single" w:sz="4" w:space="0" w:color="auto"/>
              <w:bottom w:val="single" w:sz="4" w:space="0" w:color="auto"/>
              <w:right w:val="single" w:sz="4" w:space="0" w:color="auto"/>
            </w:tcBorders>
            <w:shd w:val="clear" w:color="auto" w:fill="1B75BC" w:themeFill="text2"/>
          </w:tcPr>
          <w:p w14:paraId="3B72800C" w14:textId="50ED0820" w:rsidR="00E21128" w:rsidRPr="000E1F17" w:rsidRDefault="008F0858" w:rsidP="00130D1D">
            <w:pPr>
              <w:pStyle w:val="Table"/>
              <w:rPr>
                <w:color w:val="FFFFFF" w:themeColor="background1"/>
              </w:rPr>
            </w:pPr>
            <w:r w:rsidRPr="008F0858">
              <w:rPr>
                <w:color w:val="FFFFFF" w:themeColor="background1"/>
              </w:rPr>
              <w:t>Quality principle is met: Yes / No or N/A</w:t>
            </w:r>
          </w:p>
        </w:tc>
        <w:tc>
          <w:tcPr>
            <w:tcW w:w="2930" w:type="pct"/>
            <w:tcBorders>
              <w:top w:val="single" w:sz="4" w:space="0" w:color="auto"/>
              <w:left w:val="single" w:sz="4" w:space="0" w:color="auto"/>
              <w:bottom w:val="single" w:sz="4" w:space="0" w:color="auto"/>
              <w:right w:val="single" w:sz="4" w:space="0" w:color="auto"/>
            </w:tcBorders>
            <w:shd w:val="clear" w:color="auto" w:fill="1B75BC" w:themeFill="text2"/>
          </w:tcPr>
          <w:p w14:paraId="0AF03483" w14:textId="77777777" w:rsidR="008F0858" w:rsidRPr="008F0858" w:rsidRDefault="008F0858" w:rsidP="008F0858">
            <w:pPr>
              <w:pStyle w:val="Table"/>
              <w:rPr>
                <w:color w:val="FFFFFF" w:themeColor="background1"/>
              </w:rPr>
            </w:pPr>
            <w:r w:rsidRPr="008F0858">
              <w:rPr>
                <w:color w:val="FFFFFF" w:themeColor="background1"/>
              </w:rPr>
              <w:t xml:space="preserve">Evidence demonstrating compliance with the quality principle </w:t>
            </w:r>
          </w:p>
          <w:p w14:paraId="422686D8" w14:textId="77777777" w:rsidR="00E21128" w:rsidRPr="00010458" w:rsidRDefault="00E21128" w:rsidP="00130D1D">
            <w:pPr>
              <w:pStyle w:val="Table"/>
              <w:rPr>
                <w:color w:val="FFFFFF" w:themeColor="background1"/>
                <w:sz w:val="16"/>
                <w:szCs w:val="16"/>
              </w:rPr>
            </w:pPr>
          </w:p>
          <w:p w14:paraId="5B0FD36D" w14:textId="3BAF3404" w:rsidR="00E21128" w:rsidRPr="00900302" w:rsidRDefault="005B01E2" w:rsidP="00130D1D">
            <w:pPr>
              <w:pStyle w:val="Table"/>
              <w:rPr>
                <w:color w:val="FFFFFF" w:themeColor="background1"/>
              </w:rPr>
            </w:pPr>
            <w:r>
              <w:rPr>
                <w:color w:val="FFFFFF" w:themeColor="background1"/>
              </w:rPr>
              <w:t>P</w:t>
            </w:r>
            <w:r w:rsidR="00E21128">
              <w:rPr>
                <w:color w:val="FFFFFF" w:themeColor="background1"/>
              </w:rPr>
              <w:t xml:space="preserve">lease see examples of evidence in the </w:t>
            </w:r>
            <w:r w:rsidR="00E21128" w:rsidRPr="00B52142">
              <w:rPr>
                <w:i/>
                <w:color w:val="FFFFFF" w:themeColor="background1"/>
              </w:rPr>
              <w:t>Training Package Development and Endorsement Process Policy</w:t>
            </w:r>
          </w:p>
        </w:tc>
      </w:tr>
      <w:tr w:rsidR="00E21128" w:rsidRPr="003C2812" w14:paraId="2C3E53B8" w14:textId="77777777" w:rsidTr="008F0858">
        <w:trPr>
          <w:cantSplit/>
          <w:trHeight w:val="571"/>
        </w:trPr>
        <w:tc>
          <w:tcPr>
            <w:tcW w:w="1590" w:type="pct"/>
            <w:tcBorders>
              <w:top w:val="single" w:sz="4" w:space="0" w:color="auto"/>
              <w:left w:val="single" w:sz="4" w:space="0" w:color="auto"/>
              <w:bottom w:val="single" w:sz="4" w:space="0" w:color="auto"/>
              <w:right w:val="single" w:sz="4" w:space="0" w:color="auto"/>
            </w:tcBorders>
            <w:shd w:val="clear" w:color="auto" w:fill="FFFFFF" w:themeFill="background1"/>
          </w:tcPr>
          <w:p w14:paraId="64F97774" w14:textId="77777777" w:rsidR="00E21128" w:rsidRPr="003C2812" w:rsidRDefault="00E21128" w:rsidP="00130D1D">
            <w:pPr>
              <w:pStyle w:val="Table"/>
            </w:pPr>
            <w:r w:rsidRPr="003C2812">
              <w:t xml:space="preserve">Support learner transition between education sectors </w:t>
            </w:r>
          </w:p>
        </w:tc>
        <w:tc>
          <w:tcPr>
            <w:tcW w:w="480" w:type="pct"/>
            <w:tcBorders>
              <w:top w:val="single" w:sz="4" w:space="0" w:color="auto"/>
              <w:left w:val="single" w:sz="4" w:space="0" w:color="auto"/>
              <w:bottom w:val="single" w:sz="4" w:space="0" w:color="auto"/>
              <w:right w:val="single" w:sz="4" w:space="0" w:color="auto"/>
            </w:tcBorders>
            <w:shd w:val="clear" w:color="auto" w:fill="FFFFFF" w:themeFill="background1"/>
          </w:tcPr>
          <w:p w14:paraId="5168800C" w14:textId="3D415A40" w:rsidR="00E21128" w:rsidRPr="003C2812" w:rsidRDefault="008A7CE1" w:rsidP="00130D1D">
            <w:pPr>
              <w:pStyle w:val="Table"/>
            </w:pPr>
            <w:r>
              <w:t>Yes</w:t>
            </w:r>
          </w:p>
        </w:tc>
        <w:tc>
          <w:tcPr>
            <w:tcW w:w="2930" w:type="pct"/>
            <w:tcBorders>
              <w:top w:val="single" w:sz="4" w:space="0" w:color="auto"/>
              <w:left w:val="single" w:sz="4" w:space="0" w:color="auto"/>
              <w:bottom w:val="single" w:sz="4" w:space="0" w:color="auto"/>
              <w:right w:val="single" w:sz="4" w:space="0" w:color="auto"/>
            </w:tcBorders>
            <w:shd w:val="clear" w:color="auto" w:fill="FFFFFF" w:themeFill="background1"/>
          </w:tcPr>
          <w:p w14:paraId="1C31712F" w14:textId="4B5CA484" w:rsidR="00E21128" w:rsidRDefault="008549D1" w:rsidP="00130D1D">
            <w:pPr>
              <w:pStyle w:val="Table"/>
            </w:pPr>
            <w:r>
              <w:t xml:space="preserve">The CVIG includes </w:t>
            </w:r>
            <w:r w:rsidR="003918BC">
              <w:t xml:space="preserve">the </w:t>
            </w:r>
            <w:r>
              <w:t xml:space="preserve">recommendation </w:t>
            </w:r>
            <w:r w:rsidR="003918BC">
              <w:t xml:space="preserve">that the Certificate II is suitable for entry level VET delivery to secondary school students, whilst the Certificate IV in Racing (Jockey) is recommended by the IRC in the </w:t>
            </w:r>
            <w:proofErr w:type="spellStart"/>
            <w:r w:rsidR="003918BC">
              <w:t>CfE</w:t>
            </w:r>
            <w:proofErr w:type="spellEnd"/>
            <w:r w:rsidR="003918BC">
              <w:t xml:space="preserve"> as suitable for apprenticeship delivery. </w:t>
            </w:r>
          </w:p>
          <w:p w14:paraId="31051D35" w14:textId="691DE271" w:rsidR="003918BC" w:rsidRPr="003C2812" w:rsidRDefault="003918BC" w:rsidP="00130D1D">
            <w:pPr>
              <w:pStyle w:val="Table"/>
            </w:pPr>
            <w:r>
              <w:t>The CVIG indicates there are no national credit arrangements between the revised qualifications and Higher Education qualifications at the time endorsement.</w:t>
            </w:r>
          </w:p>
        </w:tc>
      </w:tr>
    </w:tbl>
    <w:p w14:paraId="2A5F9D77" w14:textId="23D4EA69" w:rsidR="00E21128" w:rsidRPr="009B2119" w:rsidRDefault="00E21128" w:rsidP="00E21128">
      <w:pPr>
        <w:shd w:val="clear" w:color="auto" w:fill="FFFFFF" w:themeFill="background1"/>
        <w:spacing w:before="0" w:after="0" w:line="240" w:lineRule="auto"/>
      </w:pPr>
    </w:p>
    <w:p w14:paraId="3A318780" w14:textId="26AD328C" w:rsidR="00E21128" w:rsidRPr="00E21128" w:rsidRDefault="00E21128" w:rsidP="00E21128">
      <w:pPr>
        <w:shd w:val="clear" w:color="auto" w:fill="FFFFFF" w:themeFill="background1"/>
        <w:spacing w:before="0" w:after="0" w:line="240" w:lineRule="auto"/>
        <w:rPr>
          <w:b/>
          <w:sz w:val="24"/>
          <w:szCs w:val="24"/>
        </w:rPr>
      </w:pPr>
      <w:r w:rsidRPr="00E21128">
        <w:rPr>
          <w:b/>
          <w:sz w:val="24"/>
          <w:szCs w:val="24"/>
        </w:rPr>
        <w:t>Quality principle 6: Support interpretation by training providers and others through the use of simple, concise language and clear articulation of assessment requirements</w:t>
      </w:r>
    </w:p>
    <w:tbl>
      <w:tblPr>
        <w:tblStyle w:val="LightList-Accent11"/>
        <w:tblW w:w="5307" w:type="pct"/>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F2F2F2" w:themeFill="background1" w:themeFillShade="F2"/>
        <w:tblCellMar>
          <w:top w:w="113" w:type="dxa"/>
          <w:left w:w="113" w:type="dxa"/>
          <w:bottom w:w="113" w:type="dxa"/>
          <w:right w:w="113" w:type="dxa"/>
        </w:tblCellMar>
        <w:tblLook w:val="0600" w:firstRow="0" w:lastRow="0" w:firstColumn="0" w:lastColumn="0" w:noHBand="1" w:noVBand="1"/>
      </w:tblPr>
      <w:tblGrid>
        <w:gridCol w:w="3061"/>
        <w:gridCol w:w="1138"/>
        <w:gridCol w:w="5719"/>
      </w:tblGrid>
      <w:tr w:rsidR="00E21128" w:rsidRPr="00900302" w14:paraId="68094762" w14:textId="77777777" w:rsidTr="008F0858">
        <w:trPr>
          <w:cantSplit/>
          <w:tblHeader/>
        </w:trPr>
        <w:tc>
          <w:tcPr>
            <w:tcW w:w="1590" w:type="pct"/>
            <w:tcBorders>
              <w:top w:val="single" w:sz="4" w:space="0" w:color="auto"/>
              <w:left w:val="single" w:sz="4" w:space="0" w:color="auto"/>
              <w:bottom w:val="single" w:sz="4" w:space="0" w:color="auto"/>
              <w:right w:val="single" w:sz="4" w:space="0" w:color="auto"/>
            </w:tcBorders>
            <w:shd w:val="clear" w:color="auto" w:fill="1B75BC" w:themeFill="text2"/>
          </w:tcPr>
          <w:p w14:paraId="7CF2B64B" w14:textId="77777777" w:rsidR="00E21128" w:rsidRPr="000E1F17" w:rsidRDefault="00E21128" w:rsidP="00130D1D">
            <w:pPr>
              <w:pStyle w:val="Table"/>
              <w:rPr>
                <w:color w:val="FFFFFF" w:themeColor="background1"/>
              </w:rPr>
            </w:pPr>
            <w:r w:rsidRPr="000E1F17">
              <w:rPr>
                <w:color w:val="FFFFFF" w:themeColor="background1"/>
              </w:rPr>
              <w:lastRenderedPageBreak/>
              <w:t>Key features</w:t>
            </w:r>
          </w:p>
        </w:tc>
        <w:tc>
          <w:tcPr>
            <w:tcW w:w="480" w:type="pct"/>
            <w:tcBorders>
              <w:top w:val="single" w:sz="4" w:space="0" w:color="auto"/>
              <w:left w:val="single" w:sz="4" w:space="0" w:color="auto"/>
              <w:bottom w:val="single" w:sz="4" w:space="0" w:color="auto"/>
              <w:right w:val="single" w:sz="4" w:space="0" w:color="auto"/>
            </w:tcBorders>
            <w:shd w:val="clear" w:color="auto" w:fill="1B75BC" w:themeFill="text2"/>
          </w:tcPr>
          <w:p w14:paraId="06484D97" w14:textId="32B32A74" w:rsidR="00E21128" w:rsidRPr="000E1F17" w:rsidRDefault="008F0858" w:rsidP="00130D1D">
            <w:pPr>
              <w:pStyle w:val="Table"/>
              <w:rPr>
                <w:color w:val="FFFFFF" w:themeColor="background1"/>
              </w:rPr>
            </w:pPr>
            <w:r w:rsidRPr="008F0858">
              <w:rPr>
                <w:color w:val="FFFFFF" w:themeColor="background1"/>
              </w:rPr>
              <w:t>Quality principle is met: Yes / No or N/A</w:t>
            </w:r>
          </w:p>
        </w:tc>
        <w:tc>
          <w:tcPr>
            <w:tcW w:w="2930" w:type="pct"/>
            <w:tcBorders>
              <w:top w:val="single" w:sz="4" w:space="0" w:color="auto"/>
              <w:left w:val="single" w:sz="4" w:space="0" w:color="auto"/>
              <w:bottom w:val="single" w:sz="4" w:space="0" w:color="auto"/>
              <w:right w:val="single" w:sz="4" w:space="0" w:color="auto"/>
            </w:tcBorders>
            <w:shd w:val="clear" w:color="auto" w:fill="1B75BC" w:themeFill="text2"/>
          </w:tcPr>
          <w:p w14:paraId="308661EC" w14:textId="77777777" w:rsidR="008F0858" w:rsidRPr="008F0858" w:rsidRDefault="008F0858" w:rsidP="008F0858">
            <w:pPr>
              <w:pStyle w:val="Table"/>
              <w:rPr>
                <w:color w:val="FFFFFF" w:themeColor="background1"/>
              </w:rPr>
            </w:pPr>
            <w:r w:rsidRPr="008F0858">
              <w:rPr>
                <w:color w:val="FFFFFF" w:themeColor="background1"/>
              </w:rPr>
              <w:t xml:space="preserve">Evidence demonstrating compliance with the quality principle </w:t>
            </w:r>
          </w:p>
          <w:p w14:paraId="79187B22" w14:textId="3CA21181" w:rsidR="00E21128" w:rsidRDefault="00E21128" w:rsidP="00130D1D">
            <w:pPr>
              <w:pStyle w:val="Table"/>
              <w:rPr>
                <w:color w:val="FFFFFF" w:themeColor="background1"/>
              </w:rPr>
            </w:pPr>
          </w:p>
          <w:p w14:paraId="3B38BB1E" w14:textId="77777777" w:rsidR="00E21128" w:rsidRPr="00010458" w:rsidRDefault="00E21128" w:rsidP="00130D1D">
            <w:pPr>
              <w:pStyle w:val="Table"/>
              <w:rPr>
                <w:color w:val="FFFFFF" w:themeColor="background1"/>
                <w:sz w:val="16"/>
                <w:szCs w:val="16"/>
              </w:rPr>
            </w:pPr>
          </w:p>
          <w:p w14:paraId="0A6F39CE" w14:textId="3FA1748C" w:rsidR="00E21128" w:rsidRPr="00900302" w:rsidRDefault="005B01E2" w:rsidP="00130D1D">
            <w:pPr>
              <w:pStyle w:val="Table"/>
              <w:rPr>
                <w:color w:val="FFFFFF" w:themeColor="background1"/>
              </w:rPr>
            </w:pPr>
            <w:r>
              <w:rPr>
                <w:color w:val="FFFFFF" w:themeColor="background1"/>
              </w:rPr>
              <w:t>P</w:t>
            </w:r>
            <w:r w:rsidR="00E21128">
              <w:rPr>
                <w:color w:val="FFFFFF" w:themeColor="background1"/>
              </w:rPr>
              <w:t xml:space="preserve">lease see examples of evidence in the </w:t>
            </w:r>
            <w:r w:rsidR="00E21128" w:rsidRPr="00B52142">
              <w:rPr>
                <w:i/>
                <w:color w:val="FFFFFF" w:themeColor="background1"/>
              </w:rPr>
              <w:t>Training Package Development and Endorsement Process Policy</w:t>
            </w:r>
          </w:p>
        </w:tc>
      </w:tr>
      <w:tr w:rsidR="00E21128" w:rsidRPr="003C2812" w14:paraId="64398E61" w14:textId="77777777" w:rsidTr="008F0858">
        <w:trPr>
          <w:cantSplit/>
          <w:trHeight w:val="607"/>
        </w:trPr>
        <w:tc>
          <w:tcPr>
            <w:tcW w:w="1590" w:type="pct"/>
            <w:tcBorders>
              <w:top w:val="single" w:sz="4" w:space="0" w:color="auto"/>
              <w:left w:val="single" w:sz="4" w:space="0" w:color="auto"/>
              <w:bottom w:val="single" w:sz="4" w:space="0" w:color="auto"/>
              <w:right w:val="single" w:sz="4" w:space="0" w:color="auto"/>
            </w:tcBorders>
            <w:shd w:val="clear" w:color="auto" w:fill="FFFFFF" w:themeFill="background1"/>
          </w:tcPr>
          <w:p w14:paraId="4704799B" w14:textId="7A622371" w:rsidR="00E21128" w:rsidRPr="003C2812" w:rsidRDefault="00E21128" w:rsidP="00E21128">
            <w:pPr>
              <w:pStyle w:val="Table"/>
            </w:pPr>
            <w:r w:rsidRPr="002122BE">
              <w:t>Support implementation across a range of settings</w:t>
            </w:r>
          </w:p>
        </w:tc>
        <w:tc>
          <w:tcPr>
            <w:tcW w:w="480" w:type="pct"/>
            <w:tcBorders>
              <w:top w:val="single" w:sz="4" w:space="0" w:color="auto"/>
              <w:left w:val="single" w:sz="4" w:space="0" w:color="auto"/>
              <w:bottom w:val="single" w:sz="4" w:space="0" w:color="auto"/>
              <w:right w:val="single" w:sz="4" w:space="0" w:color="auto"/>
            </w:tcBorders>
            <w:shd w:val="clear" w:color="auto" w:fill="FFFFFF" w:themeFill="background1"/>
          </w:tcPr>
          <w:p w14:paraId="11BA0495" w14:textId="6634A1C8" w:rsidR="00E21128" w:rsidRPr="003C2812" w:rsidRDefault="008A7CE1" w:rsidP="00E21128">
            <w:pPr>
              <w:pStyle w:val="Table"/>
            </w:pPr>
            <w:r>
              <w:t>Yes</w:t>
            </w:r>
          </w:p>
        </w:tc>
        <w:tc>
          <w:tcPr>
            <w:tcW w:w="2930" w:type="pct"/>
            <w:tcBorders>
              <w:top w:val="single" w:sz="4" w:space="0" w:color="auto"/>
              <w:left w:val="single" w:sz="4" w:space="0" w:color="auto"/>
              <w:bottom w:val="single" w:sz="4" w:space="0" w:color="auto"/>
              <w:right w:val="single" w:sz="4" w:space="0" w:color="auto"/>
            </w:tcBorders>
            <w:shd w:val="clear" w:color="auto" w:fill="FFFFFF" w:themeFill="background1"/>
          </w:tcPr>
          <w:p w14:paraId="30D8DBFB" w14:textId="77777777" w:rsidR="00E21128" w:rsidRDefault="00E31CFC" w:rsidP="00E21128">
            <w:pPr>
              <w:pStyle w:val="Table"/>
            </w:pPr>
            <w:r>
              <w:t xml:space="preserve">As referenced in the Equity Report, the RGR v4.0 CVIG provides advice on: </w:t>
            </w:r>
          </w:p>
          <w:p w14:paraId="4C427FE6" w14:textId="77777777" w:rsidR="00E31CFC" w:rsidRDefault="00E31CFC" w:rsidP="00E21128">
            <w:pPr>
              <w:pStyle w:val="Table"/>
            </w:pPr>
            <w:r>
              <w:t>Pathways, access and equity (</w:t>
            </w:r>
            <w:r w:rsidR="00170591">
              <w:t>described and addressed with advice on reasonable adjustments for learners with disabilities) and Foundation skills.</w:t>
            </w:r>
          </w:p>
          <w:p w14:paraId="284E705E" w14:textId="1FC91E42" w:rsidR="00170591" w:rsidRPr="003C2812" w:rsidRDefault="00170591" w:rsidP="00E21128">
            <w:pPr>
              <w:pStyle w:val="Table"/>
            </w:pPr>
            <w:r>
              <w:t xml:space="preserve">Information has been included in the CVIG regarding industry expectations and recommendation for considering learner suitability prior to commencement of the Certificate IV in Racing (Jockey) in relation to licence requirements (weight, health, fitness, medical clearance). </w:t>
            </w:r>
          </w:p>
        </w:tc>
      </w:tr>
      <w:tr w:rsidR="00E21128" w:rsidRPr="003C2812" w14:paraId="53DC0737" w14:textId="77777777" w:rsidTr="008F0858">
        <w:trPr>
          <w:cantSplit/>
          <w:trHeight w:val="619"/>
        </w:trPr>
        <w:tc>
          <w:tcPr>
            <w:tcW w:w="1590" w:type="pct"/>
            <w:tcBorders>
              <w:top w:val="single" w:sz="4" w:space="0" w:color="auto"/>
              <w:left w:val="single" w:sz="4" w:space="0" w:color="auto"/>
              <w:bottom w:val="single" w:sz="4" w:space="0" w:color="auto"/>
              <w:right w:val="single" w:sz="4" w:space="0" w:color="auto"/>
            </w:tcBorders>
            <w:shd w:val="clear" w:color="auto" w:fill="FFFFFF" w:themeFill="background1"/>
          </w:tcPr>
          <w:p w14:paraId="74013C2C" w14:textId="21F6A0B6" w:rsidR="00E21128" w:rsidRPr="003C2812" w:rsidRDefault="00E21128" w:rsidP="00E21128">
            <w:pPr>
              <w:pStyle w:val="Table"/>
            </w:pPr>
            <w:r w:rsidRPr="002122BE">
              <w:t>Support sound assessment practice</w:t>
            </w:r>
          </w:p>
        </w:tc>
        <w:tc>
          <w:tcPr>
            <w:tcW w:w="480" w:type="pct"/>
            <w:tcBorders>
              <w:top w:val="single" w:sz="4" w:space="0" w:color="auto"/>
              <w:left w:val="single" w:sz="4" w:space="0" w:color="auto"/>
              <w:bottom w:val="single" w:sz="4" w:space="0" w:color="auto"/>
              <w:right w:val="single" w:sz="4" w:space="0" w:color="auto"/>
            </w:tcBorders>
            <w:shd w:val="clear" w:color="auto" w:fill="FFFFFF" w:themeFill="background1"/>
          </w:tcPr>
          <w:p w14:paraId="6E6E6529" w14:textId="604D7F2B" w:rsidR="00E21128" w:rsidRPr="003C2812" w:rsidRDefault="00170591" w:rsidP="00E21128">
            <w:pPr>
              <w:pStyle w:val="Table"/>
            </w:pPr>
            <w:r>
              <w:t>Not applicable</w:t>
            </w:r>
          </w:p>
        </w:tc>
        <w:tc>
          <w:tcPr>
            <w:tcW w:w="2930" w:type="pct"/>
            <w:tcBorders>
              <w:top w:val="single" w:sz="4" w:space="0" w:color="auto"/>
              <w:left w:val="single" w:sz="4" w:space="0" w:color="auto"/>
              <w:bottom w:val="single" w:sz="4" w:space="0" w:color="auto"/>
              <w:right w:val="single" w:sz="4" w:space="0" w:color="auto"/>
            </w:tcBorders>
            <w:shd w:val="clear" w:color="auto" w:fill="FFFFFF" w:themeFill="background1"/>
          </w:tcPr>
          <w:p w14:paraId="1C2BB56E" w14:textId="7D129F98" w:rsidR="00E21128" w:rsidRPr="003C2812" w:rsidRDefault="00170591" w:rsidP="00E21128">
            <w:pPr>
              <w:pStyle w:val="Table"/>
            </w:pPr>
            <w:r>
              <w:t>No units were reviewed or revised in this project.</w:t>
            </w:r>
          </w:p>
        </w:tc>
      </w:tr>
      <w:tr w:rsidR="00E21128" w:rsidRPr="003C2812" w14:paraId="7C21F629" w14:textId="77777777" w:rsidTr="008F0858">
        <w:trPr>
          <w:cantSplit/>
          <w:trHeight w:val="759"/>
        </w:trPr>
        <w:tc>
          <w:tcPr>
            <w:tcW w:w="1590" w:type="pct"/>
            <w:tcBorders>
              <w:top w:val="single" w:sz="4" w:space="0" w:color="auto"/>
              <w:left w:val="single" w:sz="4" w:space="0" w:color="auto"/>
              <w:bottom w:val="single" w:sz="4" w:space="0" w:color="auto"/>
              <w:right w:val="single" w:sz="4" w:space="0" w:color="auto"/>
            </w:tcBorders>
            <w:shd w:val="clear" w:color="auto" w:fill="FFFFFF" w:themeFill="background1"/>
          </w:tcPr>
          <w:p w14:paraId="782E001B" w14:textId="0D8026EF" w:rsidR="00E21128" w:rsidRPr="003C2812" w:rsidRDefault="00E21128" w:rsidP="00E21128">
            <w:pPr>
              <w:pStyle w:val="Table"/>
            </w:pPr>
            <w:r w:rsidRPr="002122BE">
              <w:t>Support implementation</w:t>
            </w:r>
          </w:p>
        </w:tc>
        <w:tc>
          <w:tcPr>
            <w:tcW w:w="480" w:type="pct"/>
            <w:tcBorders>
              <w:top w:val="single" w:sz="4" w:space="0" w:color="auto"/>
              <w:left w:val="single" w:sz="4" w:space="0" w:color="auto"/>
              <w:bottom w:val="single" w:sz="4" w:space="0" w:color="auto"/>
              <w:right w:val="single" w:sz="4" w:space="0" w:color="auto"/>
            </w:tcBorders>
            <w:shd w:val="clear" w:color="auto" w:fill="FFFFFF" w:themeFill="background1"/>
          </w:tcPr>
          <w:p w14:paraId="17C70EB6" w14:textId="5BD6B5DA" w:rsidR="00E21128" w:rsidRPr="003C2812" w:rsidRDefault="008A7CE1" w:rsidP="00E21128">
            <w:pPr>
              <w:pStyle w:val="Table"/>
            </w:pPr>
            <w:r>
              <w:t>Yes</w:t>
            </w:r>
          </w:p>
        </w:tc>
        <w:tc>
          <w:tcPr>
            <w:tcW w:w="2930" w:type="pct"/>
            <w:tcBorders>
              <w:top w:val="single" w:sz="4" w:space="0" w:color="auto"/>
              <w:left w:val="single" w:sz="4" w:space="0" w:color="auto"/>
              <w:bottom w:val="single" w:sz="4" w:space="0" w:color="auto"/>
              <w:right w:val="single" w:sz="4" w:space="0" w:color="auto"/>
            </w:tcBorders>
            <w:shd w:val="clear" w:color="auto" w:fill="FFFFFF" w:themeFill="background1"/>
          </w:tcPr>
          <w:p w14:paraId="3829DB8B" w14:textId="77777777" w:rsidR="00170591" w:rsidRDefault="00170591" w:rsidP="00170591">
            <w:pPr>
              <w:pStyle w:val="Table"/>
            </w:pPr>
            <w:r>
              <w:t xml:space="preserve">The training package components provided for quality assurance were presented in full, and in a format required to comply with the National Register requirements for publication. </w:t>
            </w:r>
          </w:p>
          <w:p w14:paraId="38DA6BE9" w14:textId="7219A1AE" w:rsidR="00170591" w:rsidRDefault="00170591" w:rsidP="00170591">
            <w:pPr>
              <w:pStyle w:val="Table"/>
            </w:pPr>
            <w:r>
              <w:t>The Editorial Report confirms that editorial suggestions made were incorporated or explained, and recommendations made in this quality assurance process have been similarly addressed by the developer.</w:t>
            </w:r>
          </w:p>
          <w:p w14:paraId="5C5C7D74" w14:textId="77777777" w:rsidR="00170591" w:rsidRDefault="00170591" w:rsidP="00170591">
            <w:pPr>
              <w:pStyle w:val="Table"/>
            </w:pPr>
          </w:p>
          <w:p w14:paraId="4A8C1C2E" w14:textId="12CF4EF9" w:rsidR="00E21128" w:rsidRPr="003C2812" w:rsidRDefault="00170591" w:rsidP="00170591">
            <w:pPr>
              <w:pStyle w:val="Table"/>
            </w:pPr>
            <w:r w:rsidRPr="00D40346">
              <w:t xml:space="preserve">Components contain links as required by the templates to the </w:t>
            </w:r>
            <w:r>
              <w:t>RGR</w:t>
            </w:r>
            <w:r w:rsidRPr="00D40346">
              <w:t xml:space="preserve"> CVIG </w:t>
            </w:r>
            <w:r>
              <w:t>4</w:t>
            </w:r>
            <w:r w:rsidRPr="00D40346">
              <w:t xml:space="preserve">.0 which has been updated to include </w:t>
            </w:r>
            <w:r>
              <w:t>both</w:t>
            </w:r>
            <w:r w:rsidRPr="00D40346">
              <w:t xml:space="preserve"> components being </w:t>
            </w:r>
            <w:r>
              <w:t xml:space="preserve">proposed for </w:t>
            </w:r>
            <w:r w:rsidRPr="00D40346">
              <w:t>endorse</w:t>
            </w:r>
            <w:r>
              <w:t>ment</w:t>
            </w:r>
            <w:r w:rsidRPr="00D40346">
              <w:t>, has been quality assured in this process and is ready for publication a</w:t>
            </w:r>
            <w:r>
              <w:t>t</w:t>
            </w:r>
            <w:r w:rsidRPr="00D40346">
              <w:t xml:space="preserve"> the same time as the Training Package components.</w:t>
            </w:r>
          </w:p>
        </w:tc>
      </w:tr>
    </w:tbl>
    <w:p w14:paraId="5D78E79E" w14:textId="77777777" w:rsidR="00E21128" w:rsidRDefault="00E21128" w:rsidP="00E21128">
      <w:pPr>
        <w:shd w:val="clear" w:color="auto" w:fill="FFFFFF" w:themeFill="background1"/>
        <w:spacing w:before="0" w:after="0" w:line="240" w:lineRule="auto"/>
      </w:pPr>
    </w:p>
    <w:sectPr w:rsidR="00E21128" w:rsidSect="00682D87">
      <w:headerReference w:type="even" r:id="rId11"/>
      <w:headerReference w:type="default" r:id="rId12"/>
      <w:footerReference w:type="even" r:id="rId13"/>
      <w:footerReference w:type="default" r:id="rId14"/>
      <w:headerReference w:type="first" r:id="rId15"/>
      <w:footerReference w:type="first" r:id="rId16"/>
      <w:pgSz w:w="11906" w:h="16838" w:code="9"/>
      <w:pgMar w:top="1418" w:right="1134" w:bottom="1418" w:left="1418"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8B79C7" w14:textId="77777777" w:rsidR="00A71704" w:rsidRDefault="00A71704">
      <w:pPr>
        <w:spacing w:before="0" w:after="0" w:line="240" w:lineRule="auto"/>
      </w:pPr>
      <w:r>
        <w:separator/>
      </w:r>
    </w:p>
  </w:endnote>
  <w:endnote w:type="continuationSeparator" w:id="0">
    <w:p w14:paraId="73138E73" w14:textId="77777777" w:rsidR="00A71704" w:rsidRDefault="00A7170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E488E0" w14:textId="77777777" w:rsidR="00647812" w:rsidRDefault="006478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5899524"/>
      <w:docPartObj>
        <w:docPartGallery w:val="Page Numbers (Bottom of Page)"/>
        <w:docPartUnique/>
      </w:docPartObj>
    </w:sdtPr>
    <w:sdtEndPr>
      <w:rPr>
        <w:noProof/>
      </w:rPr>
    </w:sdtEndPr>
    <w:sdtContent>
      <w:p w14:paraId="56ABAD77" w14:textId="4ABE1329" w:rsidR="00C86384" w:rsidRDefault="00C86384">
        <w:pPr>
          <w:pStyle w:val="Footer"/>
          <w:jc w:val="right"/>
        </w:pPr>
        <w:r>
          <w:fldChar w:fldCharType="begin"/>
        </w:r>
        <w:r>
          <w:instrText xml:space="preserve"> PAGE   \* MERGEFORMAT </w:instrText>
        </w:r>
        <w:r>
          <w:fldChar w:fldCharType="separate"/>
        </w:r>
        <w:r w:rsidR="000543C8">
          <w:rPr>
            <w:noProof/>
          </w:rPr>
          <w:t>4</w:t>
        </w:r>
        <w:r>
          <w:rPr>
            <w:noProof/>
          </w:rPr>
          <w:fldChar w:fldCharType="end"/>
        </w:r>
      </w:p>
    </w:sdtContent>
  </w:sdt>
  <w:p w14:paraId="132A90B0" w14:textId="77777777" w:rsidR="00C86384" w:rsidRDefault="00C863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A3BC3F" w14:textId="77777777" w:rsidR="00647812" w:rsidRDefault="006478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3BDE40" w14:textId="77777777" w:rsidR="00A71704" w:rsidRDefault="00A71704">
      <w:pPr>
        <w:spacing w:before="0" w:after="0" w:line="240" w:lineRule="auto"/>
      </w:pPr>
      <w:r>
        <w:separator/>
      </w:r>
    </w:p>
  </w:footnote>
  <w:footnote w:type="continuationSeparator" w:id="0">
    <w:p w14:paraId="7AED1320" w14:textId="77777777" w:rsidR="00A71704" w:rsidRDefault="00A71704">
      <w:pPr>
        <w:spacing w:before="0" w:after="0" w:line="240" w:lineRule="auto"/>
      </w:pPr>
      <w:r>
        <w:continuationSeparator/>
      </w:r>
    </w:p>
  </w:footnote>
  <w:footnote w:id="1">
    <w:p w14:paraId="6EBE9953" w14:textId="77777777" w:rsidR="000543C8" w:rsidRPr="008734CE" w:rsidRDefault="000543C8" w:rsidP="000543C8">
      <w:pPr>
        <w:pStyle w:val="FootnoteText"/>
        <w:rPr>
          <w:sz w:val="18"/>
          <w:szCs w:val="18"/>
        </w:rPr>
      </w:pPr>
      <w:r w:rsidRPr="008734CE">
        <w:rPr>
          <w:rStyle w:val="FootnoteReference"/>
          <w:sz w:val="18"/>
          <w:szCs w:val="18"/>
        </w:rPr>
        <w:footnoteRef/>
      </w:r>
      <w:r w:rsidRPr="008734CE">
        <w:rPr>
          <w:rFonts w:asciiTheme="minorHAnsi" w:hAnsiTheme="minorHAnsi" w:cstheme="minorHAnsi"/>
          <w:sz w:val="18"/>
          <w:szCs w:val="18"/>
        </w:rPr>
        <w:t xml:space="preserve"> When the number of training products is high the t</w:t>
      </w:r>
      <w:r w:rsidRPr="008734CE">
        <w:rPr>
          <w:rFonts w:asciiTheme="minorHAnsi" w:hAnsiTheme="minorHAnsi" w:cstheme="minorHAnsi"/>
          <w:i/>
          <w:sz w:val="18"/>
          <w:szCs w:val="18"/>
        </w:rPr>
        <w:t>itles can be presented as an attached list.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A3EE72" w14:textId="77777777" w:rsidR="00647812" w:rsidRDefault="006478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D93D4" w14:textId="072CCFE2" w:rsidR="008A328E" w:rsidRPr="00D8012D" w:rsidRDefault="00D8012D" w:rsidP="00D8012D">
    <w:pPr>
      <w:pStyle w:val="Header"/>
      <w:jc w:val="center"/>
      <w:rPr>
        <w:b/>
        <w:sz w:val="28"/>
        <w:szCs w:val="28"/>
      </w:rPr>
    </w:pPr>
    <w:r w:rsidRPr="00D8012D">
      <w:rPr>
        <w:b/>
        <w:sz w:val="28"/>
        <w:szCs w:val="28"/>
      </w:rPr>
      <w:t xml:space="preserve">Training Package Quality </w:t>
    </w:r>
    <w:r w:rsidR="00647812">
      <w:rPr>
        <w:b/>
        <w:sz w:val="28"/>
        <w:szCs w:val="28"/>
      </w:rPr>
      <w:t>Assurance</w:t>
    </w:r>
  </w:p>
  <w:p w14:paraId="38716D84" w14:textId="77777777" w:rsidR="00D8012D" w:rsidRDefault="00D801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CCB292" w14:textId="77777777" w:rsidR="00647812" w:rsidRDefault="006478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C5655"/>
    <w:multiLevelType w:val="hybridMultilevel"/>
    <w:tmpl w:val="88DE5316"/>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15:restartNumberingAfterBreak="0">
    <w:nsid w:val="0E3373BC"/>
    <w:multiLevelType w:val="hybridMultilevel"/>
    <w:tmpl w:val="64AA3F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1872BD9"/>
    <w:multiLevelType w:val="hybridMultilevel"/>
    <w:tmpl w:val="AA0C1F2E"/>
    <w:lvl w:ilvl="0" w:tplc="0C090001">
      <w:start w:val="1"/>
      <w:numFmt w:val="bullet"/>
      <w:lvlText w:val=""/>
      <w:lvlJc w:val="left"/>
      <w:pPr>
        <w:ind w:left="862" w:hanging="360"/>
      </w:pPr>
      <w:rPr>
        <w:rFonts w:ascii="Symbol" w:hAnsi="Symbol"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3" w15:restartNumberingAfterBreak="0">
    <w:nsid w:val="185E7985"/>
    <w:multiLevelType w:val="hybridMultilevel"/>
    <w:tmpl w:val="5AD40FE8"/>
    <w:lvl w:ilvl="0" w:tplc="D82CA4E0">
      <w:start w:val="1"/>
      <w:numFmt w:val="bullet"/>
      <w:lvlText w:val=""/>
      <w:lvlJc w:val="left"/>
      <w:pPr>
        <w:ind w:left="1222" w:hanging="360"/>
      </w:pPr>
      <w:rPr>
        <w:rFonts w:ascii="Symbol" w:hAnsi="Symbol" w:cs="Garamond" w:hint="default"/>
        <w:b w:val="0"/>
        <w:bCs w:val="0"/>
        <w:i w:val="0"/>
        <w:iCs w:val="0"/>
        <w:color w:val="auto"/>
        <w:sz w:val="16"/>
        <w:szCs w:val="24"/>
      </w:rPr>
    </w:lvl>
    <w:lvl w:ilvl="1" w:tplc="0C090003" w:tentative="1">
      <w:start w:val="1"/>
      <w:numFmt w:val="bullet"/>
      <w:lvlText w:val="o"/>
      <w:lvlJc w:val="left"/>
      <w:pPr>
        <w:ind w:left="1942" w:hanging="360"/>
      </w:pPr>
      <w:rPr>
        <w:rFonts w:ascii="Courier New" w:hAnsi="Courier New" w:cs="Courier New" w:hint="default"/>
      </w:rPr>
    </w:lvl>
    <w:lvl w:ilvl="2" w:tplc="0C090005" w:tentative="1">
      <w:start w:val="1"/>
      <w:numFmt w:val="bullet"/>
      <w:lvlText w:val=""/>
      <w:lvlJc w:val="left"/>
      <w:pPr>
        <w:ind w:left="2662" w:hanging="360"/>
      </w:pPr>
      <w:rPr>
        <w:rFonts w:ascii="Wingdings" w:hAnsi="Wingdings" w:hint="default"/>
      </w:rPr>
    </w:lvl>
    <w:lvl w:ilvl="3" w:tplc="0C090001" w:tentative="1">
      <w:start w:val="1"/>
      <w:numFmt w:val="bullet"/>
      <w:lvlText w:val=""/>
      <w:lvlJc w:val="left"/>
      <w:pPr>
        <w:ind w:left="3382" w:hanging="360"/>
      </w:pPr>
      <w:rPr>
        <w:rFonts w:ascii="Symbol" w:hAnsi="Symbol" w:hint="default"/>
      </w:rPr>
    </w:lvl>
    <w:lvl w:ilvl="4" w:tplc="0C090003" w:tentative="1">
      <w:start w:val="1"/>
      <w:numFmt w:val="bullet"/>
      <w:lvlText w:val="o"/>
      <w:lvlJc w:val="left"/>
      <w:pPr>
        <w:ind w:left="4102" w:hanging="360"/>
      </w:pPr>
      <w:rPr>
        <w:rFonts w:ascii="Courier New" w:hAnsi="Courier New" w:cs="Courier New" w:hint="default"/>
      </w:rPr>
    </w:lvl>
    <w:lvl w:ilvl="5" w:tplc="0C090005" w:tentative="1">
      <w:start w:val="1"/>
      <w:numFmt w:val="bullet"/>
      <w:lvlText w:val=""/>
      <w:lvlJc w:val="left"/>
      <w:pPr>
        <w:ind w:left="4822" w:hanging="360"/>
      </w:pPr>
      <w:rPr>
        <w:rFonts w:ascii="Wingdings" w:hAnsi="Wingdings" w:hint="default"/>
      </w:rPr>
    </w:lvl>
    <w:lvl w:ilvl="6" w:tplc="0C090001" w:tentative="1">
      <w:start w:val="1"/>
      <w:numFmt w:val="bullet"/>
      <w:lvlText w:val=""/>
      <w:lvlJc w:val="left"/>
      <w:pPr>
        <w:ind w:left="5542" w:hanging="360"/>
      </w:pPr>
      <w:rPr>
        <w:rFonts w:ascii="Symbol" w:hAnsi="Symbol" w:hint="default"/>
      </w:rPr>
    </w:lvl>
    <w:lvl w:ilvl="7" w:tplc="0C090003" w:tentative="1">
      <w:start w:val="1"/>
      <w:numFmt w:val="bullet"/>
      <w:lvlText w:val="o"/>
      <w:lvlJc w:val="left"/>
      <w:pPr>
        <w:ind w:left="6262" w:hanging="360"/>
      </w:pPr>
      <w:rPr>
        <w:rFonts w:ascii="Courier New" w:hAnsi="Courier New" w:cs="Courier New" w:hint="default"/>
      </w:rPr>
    </w:lvl>
    <w:lvl w:ilvl="8" w:tplc="0C090005" w:tentative="1">
      <w:start w:val="1"/>
      <w:numFmt w:val="bullet"/>
      <w:lvlText w:val=""/>
      <w:lvlJc w:val="left"/>
      <w:pPr>
        <w:ind w:left="6982" w:hanging="360"/>
      </w:pPr>
      <w:rPr>
        <w:rFonts w:ascii="Wingdings" w:hAnsi="Wingdings" w:hint="default"/>
      </w:rPr>
    </w:lvl>
  </w:abstractNum>
  <w:abstractNum w:abstractNumId="4" w15:restartNumberingAfterBreak="0">
    <w:nsid w:val="19923BB4"/>
    <w:multiLevelType w:val="multilevel"/>
    <w:tmpl w:val="F6F017AC"/>
    <w:lvl w:ilvl="0">
      <w:start w:val="1"/>
      <w:numFmt w:val="bullet"/>
      <w:pStyle w:val="Documentrepairbullet"/>
      <w:lvlText w:val=""/>
      <w:lvlJc w:val="left"/>
      <w:pPr>
        <w:ind w:left="360" w:hanging="360"/>
      </w:pPr>
      <w:rPr>
        <w:rFonts w:ascii="Symbol" w:hAnsi="Symbol" w:hint="default"/>
      </w:rPr>
    </w:lvl>
    <w:lvl w:ilvl="1">
      <w:start w:val="1"/>
      <w:numFmt w:val="bullet"/>
      <w:lvlText w:val="•"/>
      <w:lvlJc w:val="left"/>
      <w:pPr>
        <w:ind w:left="1440" w:hanging="360"/>
      </w:pPr>
      <w:rPr>
        <w:rFonts w:ascii="Calibri" w:hAnsi="Calibri"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6954979"/>
    <w:multiLevelType w:val="multilevel"/>
    <w:tmpl w:val="1C5AEC2E"/>
    <w:lvl w:ilvl="0">
      <w:start w:val="1"/>
      <w:numFmt w:val="decimal"/>
      <w:lvlText w:val="%1."/>
      <w:lvlJc w:val="left"/>
      <w:pPr>
        <w:ind w:left="1494" w:hanging="360"/>
      </w:pPr>
      <w:rPr>
        <w:rFonts w:cs="Times New Roman" w:hint="default"/>
        <w:b w:val="0"/>
      </w:rPr>
    </w:lvl>
    <w:lvl w:ilvl="1">
      <w:start w:val="1"/>
      <w:numFmt w:val="bullet"/>
      <w:lvlText w:val=""/>
      <w:lvlJc w:val="left"/>
      <w:pPr>
        <w:ind w:left="2214" w:hanging="360"/>
      </w:pPr>
      <w:rPr>
        <w:rFonts w:ascii="Symbol" w:hAnsi="Symbol" w:cs="Times New Roman" w:hint="default"/>
      </w:rPr>
    </w:lvl>
    <w:lvl w:ilvl="2">
      <w:start w:val="1"/>
      <w:numFmt w:val="lowerRoman"/>
      <w:lvlText w:val="%3."/>
      <w:lvlJc w:val="right"/>
      <w:pPr>
        <w:ind w:left="2934" w:hanging="180"/>
      </w:pPr>
      <w:rPr>
        <w:rFonts w:cs="Times New Roman" w:hint="default"/>
      </w:rPr>
    </w:lvl>
    <w:lvl w:ilvl="3">
      <w:start w:val="1"/>
      <w:numFmt w:val="decimal"/>
      <w:lvlText w:val="%4."/>
      <w:lvlJc w:val="left"/>
      <w:pPr>
        <w:ind w:left="3654" w:hanging="360"/>
      </w:pPr>
      <w:rPr>
        <w:rFonts w:cs="Times New Roman" w:hint="default"/>
      </w:rPr>
    </w:lvl>
    <w:lvl w:ilvl="4">
      <w:start w:val="1"/>
      <w:numFmt w:val="lowerLetter"/>
      <w:lvlText w:val="%5."/>
      <w:lvlJc w:val="left"/>
      <w:pPr>
        <w:ind w:left="4374" w:hanging="360"/>
      </w:pPr>
      <w:rPr>
        <w:rFonts w:cs="Times New Roman" w:hint="default"/>
      </w:rPr>
    </w:lvl>
    <w:lvl w:ilvl="5">
      <w:start w:val="1"/>
      <w:numFmt w:val="lowerRoman"/>
      <w:lvlText w:val="%6."/>
      <w:lvlJc w:val="right"/>
      <w:pPr>
        <w:ind w:left="5094" w:hanging="180"/>
      </w:pPr>
      <w:rPr>
        <w:rFonts w:cs="Times New Roman" w:hint="default"/>
      </w:rPr>
    </w:lvl>
    <w:lvl w:ilvl="6">
      <w:start w:val="1"/>
      <w:numFmt w:val="decimal"/>
      <w:lvlText w:val="%7."/>
      <w:lvlJc w:val="left"/>
      <w:pPr>
        <w:ind w:left="5814" w:hanging="360"/>
      </w:pPr>
      <w:rPr>
        <w:rFonts w:cs="Times New Roman" w:hint="default"/>
      </w:rPr>
    </w:lvl>
    <w:lvl w:ilvl="7">
      <w:start w:val="1"/>
      <w:numFmt w:val="lowerLetter"/>
      <w:lvlText w:val="%8."/>
      <w:lvlJc w:val="left"/>
      <w:pPr>
        <w:ind w:left="6534" w:hanging="360"/>
      </w:pPr>
      <w:rPr>
        <w:rFonts w:cs="Times New Roman" w:hint="default"/>
      </w:rPr>
    </w:lvl>
    <w:lvl w:ilvl="8">
      <w:start w:val="1"/>
      <w:numFmt w:val="lowerRoman"/>
      <w:lvlText w:val="%9."/>
      <w:lvlJc w:val="right"/>
      <w:pPr>
        <w:ind w:left="7254" w:hanging="180"/>
      </w:pPr>
      <w:rPr>
        <w:rFonts w:cs="Times New Roman" w:hint="default"/>
      </w:rPr>
    </w:lvl>
  </w:abstractNum>
  <w:abstractNum w:abstractNumId="6" w15:restartNumberingAfterBreak="0">
    <w:nsid w:val="26FD61B0"/>
    <w:multiLevelType w:val="hybridMultilevel"/>
    <w:tmpl w:val="D36442D8"/>
    <w:lvl w:ilvl="0" w:tplc="D82CA4E0">
      <w:start w:val="1"/>
      <w:numFmt w:val="bullet"/>
      <w:lvlText w:val=""/>
      <w:lvlJc w:val="left"/>
      <w:pPr>
        <w:ind w:left="720" w:hanging="360"/>
      </w:pPr>
      <w:rPr>
        <w:rFonts w:ascii="Symbol" w:hAnsi="Symbol" w:cs="Garamond" w:hint="default"/>
        <w:b w:val="0"/>
        <w:bCs w:val="0"/>
        <w:i w:val="0"/>
        <w:iCs w:val="0"/>
        <w:color w:val="auto"/>
        <w:sz w:val="16"/>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A6774C7"/>
    <w:multiLevelType w:val="hybridMultilevel"/>
    <w:tmpl w:val="AD46FBBA"/>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5EE203B"/>
    <w:multiLevelType w:val="hybridMultilevel"/>
    <w:tmpl w:val="83027D1C"/>
    <w:lvl w:ilvl="0" w:tplc="D82CA4E0">
      <w:start w:val="1"/>
      <w:numFmt w:val="bullet"/>
      <w:lvlText w:val=""/>
      <w:lvlJc w:val="left"/>
      <w:pPr>
        <w:ind w:left="720" w:hanging="360"/>
      </w:pPr>
      <w:rPr>
        <w:rFonts w:ascii="Symbol" w:hAnsi="Symbol" w:cs="Garamond" w:hint="default"/>
        <w:b w:val="0"/>
        <w:bCs w:val="0"/>
        <w:i w:val="0"/>
        <w:iCs w:val="0"/>
        <w:color w:val="auto"/>
        <w:sz w:val="16"/>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7382E06"/>
    <w:multiLevelType w:val="hybridMultilevel"/>
    <w:tmpl w:val="FED85510"/>
    <w:lvl w:ilvl="0" w:tplc="D82CA4E0">
      <w:start w:val="1"/>
      <w:numFmt w:val="bullet"/>
      <w:lvlText w:val=""/>
      <w:lvlJc w:val="left"/>
      <w:pPr>
        <w:ind w:left="720" w:hanging="360"/>
      </w:pPr>
      <w:rPr>
        <w:rFonts w:ascii="Symbol" w:hAnsi="Symbol" w:cs="Garamond" w:hint="default"/>
        <w:b w:val="0"/>
        <w:bCs w:val="0"/>
        <w:i w:val="0"/>
        <w:iCs w:val="0"/>
        <w:color w:val="auto"/>
        <w:sz w:val="16"/>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E4E06B3"/>
    <w:multiLevelType w:val="hybridMultilevel"/>
    <w:tmpl w:val="E61EC2B6"/>
    <w:lvl w:ilvl="0" w:tplc="121AD256">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1E5352E"/>
    <w:multiLevelType w:val="multilevel"/>
    <w:tmpl w:val="A4527A48"/>
    <w:lvl w:ilvl="0">
      <w:start w:val="1"/>
      <w:numFmt w:val="decimal"/>
      <w:lvlText w:val="%1."/>
      <w:lvlJc w:val="left"/>
      <w:pPr>
        <w:ind w:left="1494" w:hanging="360"/>
      </w:pPr>
      <w:rPr>
        <w:rFonts w:cs="Times New Roman" w:hint="default"/>
        <w:b w:val="0"/>
      </w:rPr>
    </w:lvl>
    <w:lvl w:ilvl="1">
      <w:start w:val="1"/>
      <w:numFmt w:val="bullet"/>
      <w:lvlText w:val=""/>
      <w:lvlJc w:val="left"/>
      <w:pPr>
        <w:ind w:left="2214" w:hanging="360"/>
      </w:pPr>
      <w:rPr>
        <w:rFonts w:ascii="Symbol" w:hAnsi="Symbol" w:cs="Garamond" w:hint="default"/>
        <w:b w:val="0"/>
        <w:bCs w:val="0"/>
        <w:i w:val="0"/>
        <w:iCs w:val="0"/>
        <w:color w:val="auto"/>
        <w:sz w:val="16"/>
        <w:szCs w:val="24"/>
      </w:rPr>
    </w:lvl>
    <w:lvl w:ilvl="2">
      <w:start w:val="1"/>
      <w:numFmt w:val="lowerRoman"/>
      <w:lvlText w:val="%3."/>
      <w:lvlJc w:val="right"/>
      <w:pPr>
        <w:ind w:left="2934" w:hanging="180"/>
      </w:pPr>
      <w:rPr>
        <w:rFonts w:cs="Times New Roman" w:hint="default"/>
      </w:rPr>
    </w:lvl>
    <w:lvl w:ilvl="3">
      <w:start w:val="1"/>
      <w:numFmt w:val="decimal"/>
      <w:lvlText w:val="%4."/>
      <w:lvlJc w:val="left"/>
      <w:pPr>
        <w:ind w:left="3654" w:hanging="360"/>
      </w:pPr>
      <w:rPr>
        <w:rFonts w:cs="Times New Roman" w:hint="default"/>
      </w:rPr>
    </w:lvl>
    <w:lvl w:ilvl="4">
      <w:start w:val="1"/>
      <w:numFmt w:val="lowerLetter"/>
      <w:lvlText w:val="%5."/>
      <w:lvlJc w:val="left"/>
      <w:pPr>
        <w:ind w:left="4374" w:hanging="360"/>
      </w:pPr>
      <w:rPr>
        <w:rFonts w:cs="Times New Roman" w:hint="default"/>
      </w:rPr>
    </w:lvl>
    <w:lvl w:ilvl="5">
      <w:start w:val="1"/>
      <w:numFmt w:val="lowerRoman"/>
      <w:lvlText w:val="%6."/>
      <w:lvlJc w:val="right"/>
      <w:pPr>
        <w:ind w:left="5094" w:hanging="180"/>
      </w:pPr>
      <w:rPr>
        <w:rFonts w:cs="Times New Roman" w:hint="default"/>
      </w:rPr>
    </w:lvl>
    <w:lvl w:ilvl="6">
      <w:start w:val="1"/>
      <w:numFmt w:val="decimal"/>
      <w:lvlText w:val="%7."/>
      <w:lvlJc w:val="left"/>
      <w:pPr>
        <w:ind w:left="5814" w:hanging="360"/>
      </w:pPr>
      <w:rPr>
        <w:rFonts w:cs="Times New Roman" w:hint="default"/>
      </w:rPr>
    </w:lvl>
    <w:lvl w:ilvl="7">
      <w:start w:val="1"/>
      <w:numFmt w:val="lowerLetter"/>
      <w:lvlText w:val="%8."/>
      <w:lvlJc w:val="left"/>
      <w:pPr>
        <w:ind w:left="6534" w:hanging="360"/>
      </w:pPr>
      <w:rPr>
        <w:rFonts w:cs="Times New Roman" w:hint="default"/>
      </w:rPr>
    </w:lvl>
    <w:lvl w:ilvl="8">
      <w:start w:val="1"/>
      <w:numFmt w:val="lowerRoman"/>
      <w:lvlText w:val="%9."/>
      <w:lvlJc w:val="right"/>
      <w:pPr>
        <w:ind w:left="7254" w:hanging="180"/>
      </w:pPr>
      <w:rPr>
        <w:rFonts w:cs="Times New Roman" w:hint="default"/>
      </w:rPr>
    </w:lvl>
  </w:abstractNum>
  <w:abstractNum w:abstractNumId="12" w15:restartNumberingAfterBreak="0">
    <w:nsid w:val="5697296C"/>
    <w:multiLevelType w:val="hybridMultilevel"/>
    <w:tmpl w:val="E384D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7F49A8"/>
    <w:multiLevelType w:val="hybridMultilevel"/>
    <w:tmpl w:val="DFD0D4E6"/>
    <w:lvl w:ilvl="0" w:tplc="0B9E044E">
      <w:start w:val="1"/>
      <w:numFmt w:val="decimal"/>
      <w:lvlText w:val="%1."/>
      <w:lvlJc w:val="left"/>
      <w:pPr>
        <w:ind w:left="720" w:hanging="360"/>
      </w:pPr>
      <w:rPr>
        <w:rFonts w:cs="Times New Roman"/>
        <w:b w:val="0"/>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4" w15:restartNumberingAfterBreak="0">
    <w:nsid w:val="60057D1C"/>
    <w:multiLevelType w:val="hybridMultilevel"/>
    <w:tmpl w:val="A3AEEA9E"/>
    <w:lvl w:ilvl="0" w:tplc="0C090001">
      <w:start w:val="1"/>
      <w:numFmt w:val="bullet"/>
      <w:lvlText w:val=""/>
      <w:lvlJc w:val="left"/>
      <w:pPr>
        <w:ind w:left="785" w:hanging="360"/>
      </w:pPr>
      <w:rPr>
        <w:rFonts w:ascii="Symbol" w:hAnsi="Symbol" w:hint="default"/>
      </w:rPr>
    </w:lvl>
    <w:lvl w:ilvl="1" w:tplc="0C090003" w:tentative="1">
      <w:start w:val="1"/>
      <w:numFmt w:val="bullet"/>
      <w:lvlText w:val="o"/>
      <w:lvlJc w:val="left"/>
      <w:pPr>
        <w:ind w:left="1505" w:hanging="360"/>
      </w:pPr>
      <w:rPr>
        <w:rFonts w:ascii="Courier New" w:hAnsi="Courier New" w:cs="Courier New" w:hint="default"/>
      </w:rPr>
    </w:lvl>
    <w:lvl w:ilvl="2" w:tplc="0C090005" w:tentative="1">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abstractNum w:abstractNumId="15" w15:restartNumberingAfterBreak="0">
    <w:nsid w:val="779276C3"/>
    <w:multiLevelType w:val="hybridMultilevel"/>
    <w:tmpl w:val="B63CAAE0"/>
    <w:lvl w:ilvl="0" w:tplc="0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036EA4"/>
    <w:multiLevelType w:val="hybridMultilevel"/>
    <w:tmpl w:val="96EED304"/>
    <w:lvl w:ilvl="0" w:tplc="D82CA4E0">
      <w:start w:val="1"/>
      <w:numFmt w:val="bullet"/>
      <w:lvlText w:val=""/>
      <w:lvlJc w:val="left"/>
      <w:pPr>
        <w:ind w:left="720" w:hanging="360"/>
      </w:pPr>
      <w:rPr>
        <w:rFonts w:ascii="Symbol" w:hAnsi="Symbol" w:cs="Garamond" w:hint="default"/>
        <w:b w:val="0"/>
        <w:bCs w:val="0"/>
        <w:i w:val="0"/>
        <w:iCs w:val="0"/>
        <w:color w:val="auto"/>
        <w:sz w:val="16"/>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0"/>
  </w:num>
  <w:num w:numId="4">
    <w:abstractNumId w:val="10"/>
  </w:num>
  <w:num w:numId="5">
    <w:abstractNumId w:val="1"/>
  </w:num>
  <w:num w:numId="6">
    <w:abstractNumId w:val="5"/>
  </w:num>
  <w:num w:numId="7">
    <w:abstractNumId w:val="4"/>
  </w:num>
  <w:num w:numId="8">
    <w:abstractNumId w:val="11"/>
  </w:num>
  <w:num w:numId="9">
    <w:abstractNumId w:val="9"/>
  </w:num>
  <w:num w:numId="10">
    <w:abstractNumId w:val="2"/>
  </w:num>
  <w:num w:numId="11">
    <w:abstractNumId w:val="3"/>
  </w:num>
  <w:num w:numId="12">
    <w:abstractNumId w:val="8"/>
  </w:num>
  <w:num w:numId="13">
    <w:abstractNumId w:val="14"/>
  </w:num>
  <w:num w:numId="14">
    <w:abstractNumId w:val="16"/>
  </w:num>
  <w:num w:numId="15">
    <w:abstractNumId w:val="6"/>
  </w:num>
  <w:num w:numId="16">
    <w:abstractNumId w:val="7"/>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28A"/>
    <w:rsid w:val="00001F94"/>
    <w:rsid w:val="00002BD7"/>
    <w:rsid w:val="00010458"/>
    <w:rsid w:val="00014555"/>
    <w:rsid w:val="00021BB1"/>
    <w:rsid w:val="0003563F"/>
    <w:rsid w:val="00040B8F"/>
    <w:rsid w:val="00044F98"/>
    <w:rsid w:val="0004693E"/>
    <w:rsid w:val="00046F58"/>
    <w:rsid w:val="00047481"/>
    <w:rsid w:val="000543C8"/>
    <w:rsid w:val="00055B82"/>
    <w:rsid w:val="00063AD0"/>
    <w:rsid w:val="00067DBF"/>
    <w:rsid w:val="00082AF1"/>
    <w:rsid w:val="00086891"/>
    <w:rsid w:val="00094393"/>
    <w:rsid w:val="000A56AB"/>
    <w:rsid w:val="000B75C8"/>
    <w:rsid w:val="000D0038"/>
    <w:rsid w:val="000D0CDA"/>
    <w:rsid w:val="000E1C23"/>
    <w:rsid w:val="000E1F17"/>
    <w:rsid w:val="000F1225"/>
    <w:rsid w:val="000F33C8"/>
    <w:rsid w:val="001109A9"/>
    <w:rsid w:val="00117910"/>
    <w:rsid w:val="0012473D"/>
    <w:rsid w:val="001375D3"/>
    <w:rsid w:val="00140989"/>
    <w:rsid w:val="0015325E"/>
    <w:rsid w:val="00163537"/>
    <w:rsid w:val="0016675C"/>
    <w:rsid w:val="00170591"/>
    <w:rsid w:val="001825B5"/>
    <w:rsid w:val="00194BC5"/>
    <w:rsid w:val="001A4F31"/>
    <w:rsid w:val="001A5881"/>
    <w:rsid w:val="001A6F9E"/>
    <w:rsid w:val="001B4FB9"/>
    <w:rsid w:val="001C028F"/>
    <w:rsid w:val="001D671D"/>
    <w:rsid w:val="001E7667"/>
    <w:rsid w:val="001F2E2F"/>
    <w:rsid w:val="001F37FE"/>
    <w:rsid w:val="001F47F6"/>
    <w:rsid w:val="001F70F2"/>
    <w:rsid w:val="00201957"/>
    <w:rsid w:val="002117CF"/>
    <w:rsid w:val="00215D1D"/>
    <w:rsid w:val="0021616E"/>
    <w:rsid w:val="0024568B"/>
    <w:rsid w:val="00260EA8"/>
    <w:rsid w:val="00266D3A"/>
    <w:rsid w:val="00277CB8"/>
    <w:rsid w:val="0028250A"/>
    <w:rsid w:val="00282DB2"/>
    <w:rsid w:val="002A2BF4"/>
    <w:rsid w:val="002A2C1C"/>
    <w:rsid w:val="002A354B"/>
    <w:rsid w:val="002B1CF0"/>
    <w:rsid w:val="002B7668"/>
    <w:rsid w:val="002C00D0"/>
    <w:rsid w:val="002C0C61"/>
    <w:rsid w:val="002E6714"/>
    <w:rsid w:val="00317B10"/>
    <w:rsid w:val="00340A02"/>
    <w:rsid w:val="003500DC"/>
    <w:rsid w:val="00365435"/>
    <w:rsid w:val="00372F84"/>
    <w:rsid w:val="00375D36"/>
    <w:rsid w:val="003805DB"/>
    <w:rsid w:val="003832E3"/>
    <w:rsid w:val="003918BC"/>
    <w:rsid w:val="0039598B"/>
    <w:rsid w:val="003C25AC"/>
    <w:rsid w:val="003E1A75"/>
    <w:rsid w:val="003F071E"/>
    <w:rsid w:val="003F10A3"/>
    <w:rsid w:val="003F2739"/>
    <w:rsid w:val="004270C0"/>
    <w:rsid w:val="004354C9"/>
    <w:rsid w:val="00450C32"/>
    <w:rsid w:val="0045160A"/>
    <w:rsid w:val="00453001"/>
    <w:rsid w:val="00462C90"/>
    <w:rsid w:val="00474D5B"/>
    <w:rsid w:val="0048202A"/>
    <w:rsid w:val="00484A2C"/>
    <w:rsid w:val="004859B9"/>
    <w:rsid w:val="0049340C"/>
    <w:rsid w:val="004965D8"/>
    <w:rsid w:val="00496DE4"/>
    <w:rsid w:val="004974D3"/>
    <w:rsid w:val="004A1C6B"/>
    <w:rsid w:val="004B121A"/>
    <w:rsid w:val="004B3F04"/>
    <w:rsid w:val="004C2107"/>
    <w:rsid w:val="004C45F5"/>
    <w:rsid w:val="004D5370"/>
    <w:rsid w:val="004D53CC"/>
    <w:rsid w:val="004E6D50"/>
    <w:rsid w:val="004F7A56"/>
    <w:rsid w:val="00505498"/>
    <w:rsid w:val="0050628A"/>
    <w:rsid w:val="00545E57"/>
    <w:rsid w:val="005771F1"/>
    <w:rsid w:val="00582216"/>
    <w:rsid w:val="005A002F"/>
    <w:rsid w:val="005B01E2"/>
    <w:rsid w:val="005B1553"/>
    <w:rsid w:val="005B770B"/>
    <w:rsid w:val="005D236C"/>
    <w:rsid w:val="005D7380"/>
    <w:rsid w:val="005E2458"/>
    <w:rsid w:val="005E5DE5"/>
    <w:rsid w:val="00614445"/>
    <w:rsid w:val="00647812"/>
    <w:rsid w:val="00655D1E"/>
    <w:rsid w:val="0065688A"/>
    <w:rsid w:val="00682D87"/>
    <w:rsid w:val="006845BD"/>
    <w:rsid w:val="00692C5A"/>
    <w:rsid w:val="006B00E1"/>
    <w:rsid w:val="006B2CFA"/>
    <w:rsid w:val="006C00F3"/>
    <w:rsid w:val="006C3CA1"/>
    <w:rsid w:val="006F14CE"/>
    <w:rsid w:val="00700C7B"/>
    <w:rsid w:val="00700ECD"/>
    <w:rsid w:val="00713F5F"/>
    <w:rsid w:val="0073424B"/>
    <w:rsid w:val="00737A78"/>
    <w:rsid w:val="00737AB0"/>
    <w:rsid w:val="00750C54"/>
    <w:rsid w:val="00761D3F"/>
    <w:rsid w:val="0076286B"/>
    <w:rsid w:val="00765E19"/>
    <w:rsid w:val="00772E99"/>
    <w:rsid w:val="00791817"/>
    <w:rsid w:val="00792828"/>
    <w:rsid w:val="007935D5"/>
    <w:rsid w:val="00795AF8"/>
    <w:rsid w:val="00797AE9"/>
    <w:rsid w:val="007A42FD"/>
    <w:rsid w:val="007B371A"/>
    <w:rsid w:val="007C19FB"/>
    <w:rsid w:val="007C7731"/>
    <w:rsid w:val="007C7ACC"/>
    <w:rsid w:val="007D762E"/>
    <w:rsid w:val="007F5D6A"/>
    <w:rsid w:val="00810C76"/>
    <w:rsid w:val="00812460"/>
    <w:rsid w:val="008252AD"/>
    <w:rsid w:val="00827294"/>
    <w:rsid w:val="00831E67"/>
    <w:rsid w:val="00837C32"/>
    <w:rsid w:val="00840313"/>
    <w:rsid w:val="00847DC1"/>
    <w:rsid w:val="008510FE"/>
    <w:rsid w:val="008549D1"/>
    <w:rsid w:val="00855579"/>
    <w:rsid w:val="00855864"/>
    <w:rsid w:val="008734CE"/>
    <w:rsid w:val="008817FB"/>
    <w:rsid w:val="008A328E"/>
    <w:rsid w:val="008A7CE1"/>
    <w:rsid w:val="008B1738"/>
    <w:rsid w:val="008B29AF"/>
    <w:rsid w:val="008D214F"/>
    <w:rsid w:val="008D30CD"/>
    <w:rsid w:val="008E1699"/>
    <w:rsid w:val="008E1DD3"/>
    <w:rsid w:val="008F0858"/>
    <w:rsid w:val="008F2E1D"/>
    <w:rsid w:val="00900302"/>
    <w:rsid w:val="00900DE6"/>
    <w:rsid w:val="0090561C"/>
    <w:rsid w:val="00925FC7"/>
    <w:rsid w:val="00926FC6"/>
    <w:rsid w:val="00933B23"/>
    <w:rsid w:val="00954520"/>
    <w:rsid w:val="00954B21"/>
    <w:rsid w:val="00960449"/>
    <w:rsid w:val="009751D4"/>
    <w:rsid w:val="009832FD"/>
    <w:rsid w:val="009B2119"/>
    <w:rsid w:val="009B24CD"/>
    <w:rsid w:val="009B42F3"/>
    <w:rsid w:val="009C3E2E"/>
    <w:rsid w:val="009D5180"/>
    <w:rsid w:val="009E1295"/>
    <w:rsid w:val="00A00B08"/>
    <w:rsid w:val="00A042A0"/>
    <w:rsid w:val="00A12CE6"/>
    <w:rsid w:val="00A31B82"/>
    <w:rsid w:val="00A35BAC"/>
    <w:rsid w:val="00A55255"/>
    <w:rsid w:val="00A61788"/>
    <w:rsid w:val="00A62D15"/>
    <w:rsid w:val="00A71704"/>
    <w:rsid w:val="00A92F34"/>
    <w:rsid w:val="00A96954"/>
    <w:rsid w:val="00AA63EE"/>
    <w:rsid w:val="00AA7EAA"/>
    <w:rsid w:val="00AB33AC"/>
    <w:rsid w:val="00AC6509"/>
    <w:rsid w:val="00AE30EA"/>
    <w:rsid w:val="00B01E4B"/>
    <w:rsid w:val="00B02A79"/>
    <w:rsid w:val="00B05CD9"/>
    <w:rsid w:val="00B10BC1"/>
    <w:rsid w:val="00B117CE"/>
    <w:rsid w:val="00B153EB"/>
    <w:rsid w:val="00B221CA"/>
    <w:rsid w:val="00B32189"/>
    <w:rsid w:val="00B440B6"/>
    <w:rsid w:val="00B4410E"/>
    <w:rsid w:val="00B46431"/>
    <w:rsid w:val="00B52142"/>
    <w:rsid w:val="00B6777A"/>
    <w:rsid w:val="00B71033"/>
    <w:rsid w:val="00B712F7"/>
    <w:rsid w:val="00B7509E"/>
    <w:rsid w:val="00B86318"/>
    <w:rsid w:val="00B9172B"/>
    <w:rsid w:val="00B92840"/>
    <w:rsid w:val="00BA2BE2"/>
    <w:rsid w:val="00BA62F9"/>
    <w:rsid w:val="00BF38ED"/>
    <w:rsid w:val="00BF7C63"/>
    <w:rsid w:val="00C07889"/>
    <w:rsid w:val="00C11A20"/>
    <w:rsid w:val="00C20EC6"/>
    <w:rsid w:val="00C339B2"/>
    <w:rsid w:val="00C53C15"/>
    <w:rsid w:val="00C86384"/>
    <w:rsid w:val="00CA61B7"/>
    <w:rsid w:val="00CC1D77"/>
    <w:rsid w:val="00CC7F08"/>
    <w:rsid w:val="00CE2E5B"/>
    <w:rsid w:val="00CE7F18"/>
    <w:rsid w:val="00D109B6"/>
    <w:rsid w:val="00D10A99"/>
    <w:rsid w:val="00D11700"/>
    <w:rsid w:val="00D42BA0"/>
    <w:rsid w:val="00D72421"/>
    <w:rsid w:val="00D72D50"/>
    <w:rsid w:val="00D8012D"/>
    <w:rsid w:val="00DA5ABA"/>
    <w:rsid w:val="00DB1CF8"/>
    <w:rsid w:val="00DB31BA"/>
    <w:rsid w:val="00DC7F72"/>
    <w:rsid w:val="00DD34EF"/>
    <w:rsid w:val="00DE51BC"/>
    <w:rsid w:val="00DE6CBC"/>
    <w:rsid w:val="00DF04D6"/>
    <w:rsid w:val="00DF5BBE"/>
    <w:rsid w:val="00E03C9E"/>
    <w:rsid w:val="00E13216"/>
    <w:rsid w:val="00E156A3"/>
    <w:rsid w:val="00E21128"/>
    <w:rsid w:val="00E277DD"/>
    <w:rsid w:val="00E30E7E"/>
    <w:rsid w:val="00E31CFC"/>
    <w:rsid w:val="00E41806"/>
    <w:rsid w:val="00E4334D"/>
    <w:rsid w:val="00E61F1D"/>
    <w:rsid w:val="00E65DE5"/>
    <w:rsid w:val="00E66552"/>
    <w:rsid w:val="00E713D3"/>
    <w:rsid w:val="00E73643"/>
    <w:rsid w:val="00E8185C"/>
    <w:rsid w:val="00EA34CF"/>
    <w:rsid w:val="00EB1A80"/>
    <w:rsid w:val="00EB72A1"/>
    <w:rsid w:val="00ED58D2"/>
    <w:rsid w:val="00EE6619"/>
    <w:rsid w:val="00F008A3"/>
    <w:rsid w:val="00F06470"/>
    <w:rsid w:val="00F07A21"/>
    <w:rsid w:val="00F1015B"/>
    <w:rsid w:val="00F16190"/>
    <w:rsid w:val="00F27D1C"/>
    <w:rsid w:val="00F31F36"/>
    <w:rsid w:val="00F443EF"/>
    <w:rsid w:val="00F46CF4"/>
    <w:rsid w:val="00F5013B"/>
    <w:rsid w:val="00F50B93"/>
    <w:rsid w:val="00F71A11"/>
    <w:rsid w:val="00F73382"/>
    <w:rsid w:val="00F7742C"/>
    <w:rsid w:val="00F91162"/>
    <w:rsid w:val="00F955E2"/>
    <w:rsid w:val="00FA0623"/>
    <w:rsid w:val="00FA0FD6"/>
    <w:rsid w:val="00FA34CB"/>
    <w:rsid w:val="00FB691B"/>
    <w:rsid w:val="00FC5607"/>
    <w:rsid w:val="00FC787B"/>
    <w:rsid w:val="00FD16BC"/>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4D62D5"/>
  <w15:docId w15:val="{3E71ED55-6C8C-40DF-8597-5DA5B0E5B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628A"/>
    <w:pPr>
      <w:spacing w:before="120" w:after="120" w:line="276" w:lineRule="auto"/>
    </w:pPr>
    <w:rPr>
      <w:rFonts w:ascii="Calibri" w:hAnsi="Calibri"/>
      <w:sz w:val="22"/>
      <w:szCs w:val="22"/>
      <w:lang w:eastAsia="en-US"/>
    </w:rPr>
  </w:style>
  <w:style w:type="paragraph" w:styleId="Heading1">
    <w:name w:val="heading 1"/>
    <w:basedOn w:val="Normal"/>
    <w:next w:val="Normal"/>
    <w:qFormat/>
    <w:rsid w:val="004E6D50"/>
    <w:pPr>
      <w:keepNext/>
      <w:keepLines/>
      <w:spacing w:before="0" w:after="0" w:line="240" w:lineRule="auto"/>
      <w:outlineLvl w:val="0"/>
    </w:pPr>
    <w:rPr>
      <w:rFonts w:asciiTheme="majorHAnsi" w:hAnsiTheme="majorHAnsi" w:cs="Calibri"/>
      <w:b/>
      <w:bCs/>
      <w:color w:val="1B75BC" w:themeColor="text2"/>
      <w:sz w:val="24"/>
      <w:szCs w:val="24"/>
    </w:rPr>
  </w:style>
  <w:style w:type="paragraph" w:styleId="Heading2">
    <w:name w:val="heading 2"/>
    <w:basedOn w:val="Normal"/>
    <w:next w:val="Normal"/>
    <w:qFormat/>
    <w:rsid w:val="00044F98"/>
    <w:pPr>
      <w:keepNext/>
      <w:pBdr>
        <w:top w:val="single" w:sz="8" w:space="1" w:color="FEEFD8" w:themeColor="accent3" w:themeTint="33"/>
        <w:left w:val="single" w:sz="8" w:space="4" w:color="FEEFD8" w:themeColor="accent3" w:themeTint="33"/>
        <w:bottom w:val="single" w:sz="8" w:space="1" w:color="FEEFD8" w:themeColor="accent3" w:themeTint="33"/>
        <w:right w:val="single" w:sz="8" w:space="4" w:color="FEEFD8" w:themeColor="accent3" w:themeTint="33"/>
      </w:pBdr>
      <w:shd w:val="clear" w:color="auto" w:fill="FEEFD8" w:themeFill="accent3" w:themeFillTint="33"/>
      <w:spacing w:before="240" w:after="0" w:line="240" w:lineRule="auto"/>
      <w:outlineLvl w:val="1"/>
    </w:pPr>
    <w:rPr>
      <w:rFonts w:cs="Arial"/>
      <w:b/>
      <w:bCs/>
      <w:iCs/>
      <w:sz w:val="26"/>
      <w:szCs w:val="28"/>
    </w:rPr>
  </w:style>
  <w:style w:type="paragraph" w:styleId="Heading3">
    <w:name w:val="heading 3"/>
    <w:basedOn w:val="Normal"/>
    <w:next w:val="Normal"/>
    <w:link w:val="Heading3Char"/>
    <w:uiPriority w:val="9"/>
    <w:qFormat/>
    <w:rsid w:val="00FD16BC"/>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basedOn w:val="DefaultParagraphFont"/>
    <w:rPr>
      <w:rFonts w:ascii="Arial" w:hAnsi="Arial" w:cs="Arial"/>
      <w:color w:val="auto"/>
      <w:sz w:val="20"/>
    </w:rPr>
  </w:style>
  <w:style w:type="character" w:customStyle="1" w:styleId="PersonalReplyStyle">
    <w:name w:val="Personal Reply Style"/>
    <w:basedOn w:val="DefaultParagraphFont"/>
    <w:rPr>
      <w:rFonts w:ascii="Arial" w:hAnsi="Arial" w:cs="Arial"/>
      <w:color w:val="auto"/>
      <w:sz w:val="20"/>
    </w:rPr>
  </w:style>
  <w:style w:type="character" w:customStyle="1" w:styleId="Heading3Char">
    <w:name w:val="Heading 3 Char"/>
    <w:basedOn w:val="DefaultParagraphFont"/>
    <w:link w:val="Heading3"/>
    <w:uiPriority w:val="9"/>
    <w:locked/>
    <w:rsid w:val="0050628A"/>
    <w:rPr>
      <w:rFonts w:ascii="Arial" w:hAnsi="Arial" w:cs="Arial"/>
      <w:b/>
      <w:bCs/>
      <w:sz w:val="22"/>
      <w:szCs w:val="26"/>
      <w:lang w:eastAsia="en-US"/>
    </w:rPr>
  </w:style>
  <w:style w:type="paragraph" w:styleId="ListParagraph">
    <w:name w:val="List Paragraph"/>
    <w:aliases w:val="Bullet point,DDM Gen Text,L,List Paragraph - bullets,List Paragraph1,List Paragraph11,NFP GP Bulleted List,Recommendation,bullet point list,Dot point 1.5 line spacing,List Paragraph Number,Content descriptions,Bullet Point,Bullet points"/>
    <w:basedOn w:val="Normal"/>
    <w:link w:val="ListParagraphChar"/>
    <w:uiPriority w:val="34"/>
    <w:qFormat/>
    <w:rsid w:val="0050628A"/>
    <w:pPr>
      <w:ind w:left="720"/>
      <w:contextualSpacing/>
    </w:pPr>
  </w:style>
  <w:style w:type="paragraph" w:styleId="Footer">
    <w:name w:val="footer"/>
    <w:basedOn w:val="Normal"/>
    <w:link w:val="FooterChar"/>
    <w:uiPriority w:val="99"/>
    <w:rsid w:val="005062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628A"/>
    <w:rPr>
      <w:rFonts w:ascii="Calibri" w:hAnsi="Calibri"/>
      <w:sz w:val="22"/>
      <w:szCs w:val="22"/>
      <w:lang w:eastAsia="en-US"/>
    </w:rPr>
  </w:style>
  <w:style w:type="character" w:customStyle="1" w:styleId="ListParagraphChar">
    <w:name w:val="List Paragraph Char"/>
    <w:aliases w:val="Bullet point Char,DDM Gen Text Char,L Char,List Paragraph - bullets Char,List Paragraph1 Char,List Paragraph11 Char,NFP GP Bulleted List Char,Recommendation Char,bullet point list Char,Dot point 1.5 line spacing Char"/>
    <w:basedOn w:val="DefaultParagraphFont"/>
    <w:link w:val="ListParagraph"/>
    <w:uiPriority w:val="34"/>
    <w:qFormat/>
    <w:locked/>
    <w:rsid w:val="0050628A"/>
    <w:rPr>
      <w:rFonts w:ascii="Calibri" w:hAnsi="Calibri"/>
      <w:sz w:val="22"/>
      <w:szCs w:val="22"/>
      <w:lang w:eastAsia="en-US"/>
    </w:rPr>
  </w:style>
  <w:style w:type="table" w:styleId="LightList-Accent1">
    <w:name w:val="Light List Accent 1"/>
    <w:basedOn w:val="TableNormal"/>
    <w:uiPriority w:val="61"/>
    <w:rsid w:val="0050628A"/>
    <w:rPr>
      <w:rFonts w:ascii="Calibri" w:hAnsi="Calibri" w:cs="Calibri"/>
    </w:rPr>
    <w:tblPr>
      <w:tblStyleRowBandSize w:val="1"/>
      <w:tblStyleColBandSize w:val="1"/>
      <w:tblBorders>
        <w:top w:val="single" w:sz="8" w:space="0" w:color="F58229" w:themeColor="accent1"/>
        <w:left w:val="single" w:sz="8" w:space="0" w:color="F58229" w:themeColor="accent1"/>
        <w:bottom w:val="single" w:sz="8" w:space="0" w:color="F58229" w:themeColor="accent1"/>
        <w:right w:val="single" w:sz="8" w:space="0" w:color="F58229" w:themeColor="accent1"/>
      </w:tblBorders>
    </w:tblPr>
    <w:tblStylePr w:type="firstRow">
      <w:pPr>
        <w:spacing w:before="0" w:after="0"/>
      </w:pPr>
      <w:rPr>
        <w:rFonts w:cs="Calibri"/>
        <w:b/>
        <w:bCs/>
        <w:color w:val="FFFFFF" w:themeColor="background1"/>
      </w:rPr>
      <w:tblPr/>
      <w:tcPr>
        <w:shd w:val="clear" w:color="auto" w:fill="F58229" w:themeFill="accent1"/>
      </w:tcPr>
    </w:tblStylePr>
    <w:tblStylePr w:type="lastRow">
      <w:pPr>
        <w:spacing w:before="0" w:after="0"/>
      </w:pPr>
      <w:rPr>
        <w:rFonts w:cs="Calibri"/>
        <w:b/>
        <w:bCs/>
      </w:rPr>
      <w:tblPr/>
      <w:tcPr>
        <w:tcBorders>
          <w:top w:val="double" w:sz="6" w:space="0" w:color="F58229" w:themeColor="accent1"/>
          <w:left w:val="single" w:sz="8" w:space="0" w:color="F58229" w:themeColor="accent1"/>
          <w:bottom w:val="single" w:sz="8" w:space="0" w:color="F58229" w:themeColor="accent1"/>
          <w:right w:val="single" w:sz="8" w:space="0" w:color="F58229" w:themeColor="accent1"/>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F58229" w:themeColor="accent1"/>
          <w:left w:val="single" w:sz="8" w:space="0" w:color="F58229" w:themeColor="accent1"/>
          <w:bottom w:val="single" w:sz="8" w:space="0" w:color="F58229" w:themeColor="accent1"/>
          <w:right w:val="single" w:sz="8" w:space="0" w:color="F58229" w:themeColor="accent1"/>
        </w:tcBorders>
      </w:tcPr>
    </w:tblStylePr>
    <w:tblStylePr w:type="band1Horz">
      <w:rPr>
        <w:rFonts w:cs="Calibri"/>
      </w:rPr>
      <w:tblPr/>
      <w:tcPr>
        <w:tcBorders>
          <w:top w:val="single" w:sz="8" w:space="0" w:color="F58229" w:themeColor="accent1"/>
          <w:left w:val="single" w:sz="8" w:space="0" w:color="F58229" w:themeColor="accent1"/>
          <w:bottom w:val="single" w:sz="8" w:space="0" w:color="F58229" w:themeColor="accent1"/>
          <w:right w:val="single" w:sz="8" w:space="0" w:color="F58229" w:themeColor="accent1"/>
        </w:tcBorders>
      </w:tcPr>
    </w:tblStylePr>
  </w:style>
  <w:style w:type="paragraph" w:styleId="Title">
    <w:name w:val="Title"/>
    <w:basedOn w:val="Normal"/>
    <w:next w:val="Normal"/>
    <w:link w:val="TitleChar"/>
    <w:uiPriority w:val="10"/>
    <w:qFormat/>
    <w:rsid w:val="004E6D50"/>
    <w:pPr>
      <w:pBdr>
        <w:bottom w:val="single" w:sz="8" w:space="4" w:color="F58229" w:themeColor="accent1"/>
      </w:pBdr>
      <w:spacing w:before="0" w:after="300" w:line="240" w:lineRule="auto"/>
      <w:contextualSpacing/>
    </w:pPr>
    <w:rPr>
      <w:rFonts w:asciiTheme="majorHAnsi" w:eastAsiaTheme="majorEastAsia" w:hAnsiTheme="majorHAnsi" w:cstheme="majorBidi"/>
      <w:color w:val="1B75BC" w:themeColor="text2"/>
      <w:spacing w:val="5"/>
      <w:kern w:val="28"/>
      <w:sz w:val="52"/>
      <w:szCs w:val="52"/>
    </w:rPr>
  </w:style>
  <w:style w:type="character" w:customStyle="1" w:styleId="TitleChar">
    <w:name w:val="Title Char"/>
    <w:basedOn w:val="DefaultParagraphFont"/>
    <w:link w:val="Title"/>
    <w:uiPriority w:val="10"/>
    <w:rsid w:val="004E6D50"/>
    <w:rPr>
      <w:rFonts w:asciiTheme="majorHAnsi" w:eastAsiaTheme="majorEastAsia" w:hAnsiTheme="majorHAnsi" w:cstheme="majorBidi"/>
      <w:color w:val="1B75BC" w:themeColor="text2"/>
      <w:spacing w:val="5"/>
      <w:kern w:val="28"/>
      <w:sz w:val="52"/>
      <w:szCs w:val="52"/>
      <w:lang w:eastAsia="en-US"/>
    </w:rPr>
  </w:style>
  <w:style w:type="table" w:styleId="TableGrid">
    <w:name w:val="Table Grid"/>
    <w:basedOn w:val="TableNormal"/>
    <w:uiPriority w:val="59"/>
    <w:rsid w:val="002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next w:val="LightList-Accent1"/>
    <w:uiPriority w:val="61"/>
    <w:rsid w:val="000E1F17"/>
    <w:rPr>
      <w:rFonts w:ascii="Calibri" w:hAnsi="Calibri"/>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ocumentrepairbullet">
    <w:name w:val="Document repair bullet"/>
    <w:basedOn w:val="Normal"/>
    <w:qFormat/>
    <w:rsid w:val="000E1F17"/>
    <w:pPr>
      <w:keepLines/>
      <w:numPr>
        <w:numId w:val="7"/>
      </w:numPr>
      <w:spacing w:before="0" w:after="240" w:line="240" w:lineRule="auto"/>
      <w:ind w:left="714" w:hanging="357"/>
      <w:contextualSpacing/>
    </w:pPr>
  </w:style>
  <w:style w:type="paragraph" w:customStyle="1" w:styleId="Tablebullet">
    <w:name w:val="Table bullet"/>
    <w:basedOn w:val="Documentrepairbullet"/>
    <w:link w:val="TablebulletChar"/>
    <w:qFormat/>
    <w:rsid w:val="000E1F17"/>
    <w:pPr>
      <w:ind w:left="170" w:hanging="170"/>
    </w:pPr>
  </w:style>
  <w:style w:type="paragraph" w:customStyle="1" w:styleId="Table">
    <w:name w:val="Table"/>
    <w:basedOn w:val="Normal"/>
    <w:link w:val="TableChar"/>
    <w:qFormat/>
    <w:rsid w:val="000E1F17"/>
    <w:pPr>
      <w:spacing w:before="0" w:after="0" w:line="240" w:lineRule="auto"/>
    </w:pPr>
  </w:style>
  <w:style w:type="character" w:customStyle="1" w:styleId="TablebulletChar">
    <w:name w:val="Table bullet Char"/>
    <w:basedOn w:val="DefaultParagraphFont"/>
    <w:link w:val="Tablebullet"/>
    <w:rsid w:val="000E1F17"/>
    <w:rPr>
      <w:rFonts w:ascii="Calibri" w:hAnsi="Calibri"/>
      <w:sz w:val="22"/>
      <w:szCs w:val="22"/>
      <w:lang w:eastAsia="en-US"/>
    </w:rPr>
  </w:style>
  <w:style w:type="character" w:customStyle="1" w:styleId="TableChar">
    <w:name w:val="Table Char"/>
    <w:basedOn w:val="DefaultParagraphFont"/>
    <w:link w:val="Table"/>
    <w:rsid w:val="000E1F17"/>
    <w:rPr>
      <w:rFonts w:ascii="Calibri" w:hAnsi="Calibri"/>
      <w:sz w:val="22"/>
      <w:szCs w:val="22"/>
      <w:lang w:eastAsia="en-US"/>
    </w:rPr>
  </w:style>
  <w:style w:type="paragraph" w:styleId="BalloonText">
    <w:name w:val="Balloon Text"/>
    <w:basedOn w:val="Normal"/>
    <w:link w:val="BalloonTextChar"/>
    <w:uiPriority w:val="99"/>
    <w:semiHidden/>
    <w:unhideWhenUsed/>
    <w:rsid w:val="00277CB8"/>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CB8"/>
    <w:rPr>
      <w:rFonts w:ascii="Tahoma" w:hAnsi="Tahoma" w:cs="Tahoma"/>
      <w:sz w:val="16"/>
      <w:szCs w:val="16"/>
      <w:lang w:eastAsia="en-US"/>
    </w:rPr>
  </w:style>
  <w:style w:type="paragraph" w:styleId="Header">
    <w:name w:val="header"/>
    <w:basedOn w:val="Normal"/>
    <w:link w:val="HeaderChar"/>
    <w:uiPriority w:val="99"/>
    <w:unhideWhenUsed/>
    <w:rsid w:val="00700ECD"/>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700ECD"/>
    <w:rPr>
      <w:rFonts w:ascii="Calibri" w:hAnsi="Calibri"/>
      <w:sz w:val="22"/>
      <w:szCs w:val="22"/>
      <w:lang w:eastAsia="en-US"/>
    </w:rPr>
  </w:style>
  <w:style w:type="character" w:styleId="CommentReference">
    <w:name w:val="annotation reference"/>
    <w:basedOn w:val="DefaultParagraphFont"/>
    <w:uiPriority w:val="99"/>
    <w:semiHidden/>
    <w:unhideWhenUsed/>
    <w:rsid w:val="00DC7F72"/>
    <w:rPr>
      <w:sz w:val="16"/>
      <w:szCs w:val="16"/>
    </w:rPr>
  </w:style>
  <w:style w:type="paragraph" w:styleId="CommentText">
    <w:name w:val="annotation text"/>
    <w:basedOn w:val="Normal"/>
    <w:link w:val="CommentTextChar"/>
    <w:uiPriority w:val="99"/>
    <w:semiHidden/>
    <w:unhideWhenUsed/>
    <w:rsid w:val="00DC7F72"/>
    <w:pPr>
      <w:spacing w:line="240" w:lineRule="auto"/>
    </w:pPr>
    <w:rPr>
      <w:sz w:val="20"/>
      <w:szCs w:val="20"/>
    </w:rPr>
  </w:style>
  <w:style w:type="character" w:customStyle="1" w:styleId="CommentTextChar">
    <w:name w:val="Comment Text Char"/>
    <w:basedOn w:val="DefaultParagraphFont"/>
    <w:link w:val="CommentText"/>
    <w:uiPriority w:val="99"/>
    <w:semiHidden/>
    <w:rsid w:val="00DC7F72"/>
    <w:rPr>
      <w:rFonts w:ascii="Calibri" w:hAnsi="Calibri"/>
      <w:lang w:eastAsia="en-US"/>
    </w:rPr>
  </w:style>
  <w:style w:type="paragraph" w:styleId="CommentSubject">
    <w:name w:val="annotation subject"/>
    <w:basedOn w:val="CommentText"/>
    <w:next w:val="CommentText"/>
    <w:link w:val="CommentSubjectChar"/>
    <w:uiPriority w:val="99"/>
    <w:semiHidden/>
    <w:unhideWhenUsed/>
    <w:rsid w:val="00DC7F72"/>
    <w:rPr>
      <w:b/>
      <w:bCs/>
    </w:rPr>
  </w:style>
  <w:style w:type="character" w:customStyle="1" w:styleId="CommentSubjectChar">
    <w:name w:val="Comment Subject Char"/>
    <w:basedOn w:val="CommentTextChar"/>
    <w:link w:val="CommentSubject"/>
    <w:uiPriority w:val="99"/>
    <w:semiHidden/>
    <w:rsid w:val="00DC7F72"/>
    <w:rPr>
      <w:rFonts w:ascii="Calibri" w:hAnsi="Calibri"/>
      <w:b/>
      <w:bCs/>
      <w:lang w:eastAsia="en-US"/>
    </w:rPr>
  </w:style>
  <w:style w:type="paragraph" w:styleId="Revision">
    <w:name w:val="Revision"/>
    <w:hidden/>
    <w:uiPriority w:val="99"/>
    <w:semiHidden/>
    <w:rsid w:val="00FB691B"/>
    <w:rPr>
      <w:rFonts w:ascii="Calibri" w:hAnsi="Calibri"/>
      <w:sz w:val="22"/>
      <w:szCs w:val="22"/>
      <w:lang w:eastAsia="en-US"/>
    </w:rPr>
  </w:style>
  <w:style w:type="paragraph" w:styleId="FootnoteText">
    <w:name w:val="footnote text"/>
    <w:basedOn w:val="Normal"/>
    <w:link w:val="FootnoteTextChar"/>
    <w:uiPriority w:val="99"/>
    <w:semiHidden/>
    <w:unhideWhenUsed/>
    <w:rsid w:val="00BF7C63"/>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BF7C63"/>
    <w:rPr>
      <w:rFonts w:ascii="Calibri" w:hAnsi="Calibri"/>
      <w:lang w:eastAsia="en-US"/>
    </w:rPr>
  </w:style>
  <w:style w:type="character" w:styleId="FootnoteReference">
    <w:name w:val="footnote reference"/>
    <w:basedOn w:val="DefaultParagraphFont"/>
    <w:uiPriority w:val="99"/>
    <w:semiHidden/>
    <w:unhideWhenUsed/>
    <w:rsid w:val="00BF7C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AISC">
      <a:dk1>
        <a:sysClr val="windowText" lastClr="000000"/>
      </a:dk1>
      <a:lt1>
        <a:sysClr val="window" lastClr="FFFFFF"/>
      </a:lt1>
      <a:dk2>
        <a:srgbClr val="1B75BC"/>
      </a:dk2>
      <a:lt2>
        <a:srgbClr val="FFFFFF"/>
      </a:lt2>
      <a:accent1>
        <a:srgbClr val="F58229"/>
      </a:accent1>
      <a:accent2>
        <a:srgbClr val="1B75BC"/>
      </a:accent2>
      <a:accent3>
        <a:srgbClr val="FBB040"/>
      </a:accent3>
      <a:accent4>
        <a:srgbClr val="27AAE1"/>
      </a:accent4>
      <a:accent5>
        <a:srgbClr val="D7DF23"/>
      </a:accent5>
      <a:accent6>
        <a:srgbClr val="E94E1B"/>
      </a:accent6>
      <a:hlink>
        <a:srgbClr val="1F497D"/>
      </a:hlink>
      <a:folHlink>
        <a:srgbClr val="59595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tegory xmlns="409030e7-b0cf-4b53-b80b-c6e245e9d902">2.	General Templates</Category>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56BC12C7128074D99AB69AB212C12D4" ma:contentTypeVersion="5" ma:contentTypeDescription="Create a new document." ma:contentTypeScope="" ma:versionID="b473f769451a8640c91752b35dd7c3f8">
  <xsd:schema xmlns:xsd="http://www.w3.org/2001/XMLSchema" xmlns:xs="http://www.w3.org/2001/XMLSchema" xmlns:p="http://schemas.microsoft.com/office/2006/metadata/properties" xmlns:ns2="c0c61cd0-8906-41a6-94dd-696765a41e73" xmlns:ns3="409030e7-b0cf-4b53-b80b-c6e245e9d902" targetNamespace="http://schemas.microsoft.com/office/2006/metadata/properties" ma:root="true" ma:fieldsID="a67683d6ed621668d7e64745daba8998" ns2:_="" ns3:_="">
    <xsd:import namespace="c0c61cd0-8906-41a6-94dd-696765a41e73"/>
    <xsd:import namespace="409030e7-b0cf-4b53-b80b-c6e245e9d90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9030e7-b0cf-4b53-b80b-c6e245e9d90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Category" ma:index="12" nillable="true" ma:displayName="Category" ma:internalName="Category">
      <xsd:simpleType>
        <xsd:restriction base="dms:Choice">
          <xsd:enumeration value="1. Start-up Templates"/>
          <xsd:enumeration value="2. General Templates"/>
          <xsd:enumeration value="3. General Information"/>
          <xsd:enumeration value="4. Archived Templates"/>
          <xsd:enumeration value="5.     Examp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EE571A-D7F3-43B4-A8C5-B922D5FD7BA9}">
  <ds:schemaRefs>
    <ds:schemaRef ds:uri="http://schemas.microsoft.com/office/2006/metadata/properties"/>
    <ds:schemaRef ds:uri="http://schemas.microsoft.com/office/infopath/2007/PartnerControls"/>
    <ds:schemaRef ds:uri="409030e7-b0cf-4b53-b80b-c6e245e9d902"/>
  </ds:schemaRefs>
</ds:datastoreItem>
</file>

<file path=customXml/itemProps2.xml><?xml version="1.0" encoding="utf-8"?>
<ds:datastoreItem xmlns:ds="http://schemas.openxmlformats.org/officeDocument/2006/customXml" ds:itemID="{DA400FB9-BEBC-4BD7-B161-385942B3DDA8}">
  <ds:schemaRefs>
    <ds:schemaRef ds:uri="http://schemas.openxmlformats.org/officeDocument/2006/bibliography"/>
  </ds:schemaRefs>
</ds:datastoreItem>
</file>

<file path=customXml/itemProps3.xml><?xml version="1.0" encoding="utf-8"?>
<ds:datastoreItem xmlns:ds="http://schemas.openxmlformats.org/officeDocument/2006/customXml" ds:itemID="{7FCD6F3A-C7BA-43CB-85EB-054D65358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409030e7-b0cf-4b53-b80b-c6e245e9d9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35AAAE-6FDB-40C8-B621-8678699E87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2701</Words>
  <Characters>16405</Characters>
  <Application>Microsoft Office Word</Application>
  <DocSecurity>4</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19068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Alana O'Hare</dc:creator>
  <cp:lastModifiedBy>Catherine Beven</cp:lastModifiedBy>
  <cp:revision>2</cp:revision>
  <cp:lastPrinted>2018-05-29T01:30:00Z</cp:lastPrinted>
  <dcterms:created xsi:type="dcterms:W3CDTF">2021-04-21T01:38:00Z</dcterms:created>
  <dcterms:modified xsi:type="dcterms:W3CDTF">2021-04-21T01:38:00Z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0x010100656BC12C7128074D99AB69AB212C12D4</vt:lpwstr>
  </property>
</Properties>
</file>