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A313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46935F1" w14:textId="77777777" w:rsidTr="00146EEC">
        <w:tc>
          <w:tcPr>
            <w:tcW w:w="2689" w:type="dxa"/>
          </w:tcPr>
          <w:p w14:paraId="7CAE3290" w14:textId="77777777" w:rsidR="00F1480E" w:rsidRPr="000754EC" w:rsidRDefault="00830267" w:rsidP="000754EC">
            <w:pPr>
              <w:pStyle w:val="SIText-Bold"/>
            </w:pPr>
            <w:r w:rsidRPr="00A326C2">
              <w:t>Release</w:t>
            </w:r>
          </w:p>
        </w:tc>
        <w:tc>
          <w:tcPr>
            <w:tcW w:w="6939" w:type="dxa"/>
          </w:tcPr>
          <w:p w14:paraId="41D6B1A1" w14:textId="77777777" w:rsidR="00F1480E" w:rsidRPr="000754EC" w:rsidRDefault="00830267" w:rsidP="000754EC">
            <w:pPr>
              <w:pStyle w:val="SIText-Bold"/>
            </w:pPr>
            <w:r w:rsidRPr="00A326C2">
              <w:t>Comments</w:t>
            </w:r>
          </w:p>
        </w:tc>
      </w:tr>
      <w:tr w:rsidR="00F1480E" w14:paraId="49089133" w14:textId="77777777" w:rsidTr="00146EEC">
        <w:tc>
          <w:tcPr>
            <w:tcW w:w="2689" w:type="dxa"/>
          </w:tcPr>
          <w:p w14:paraId="33475131" w14:textId="77777777" w:rsidR="00F1480E" w:rsidRPr="000754EC" w:rsidRDefault="00F1480E" w:rsidP="000754EC">
            <w:pPr>
              <w:pStyle w:val="SIText"/>
            </w:pPr>
            <w:r w:rsidRPr="00CC451E">
              <w:t>Release</w:t>
            </w:r>
            <w:r w:rsidR="00337E82" w:rsidRPr="000754EC">
              <w:t xml:space="preserve"> </w:t>
            </w:r>
            <w:r w:rsidR="00095EF7">
              <w:t>1</w:t>
            </w:r>
          </w:p>
        </w:tc>
        <w:tc>
          <w:tcPr>
            <w:tcW w:w="6939" w:type="dxa"/>
          </w:tcPr>
          <w:p w14:paraId="52029B31" w14:textId="5773D805" w:rsidR="00F1480E" w:rsidRPr="000754EC" w:rsidRDefault="00095EF7" w:rsidP="000754EC">
            <w:pPr>
              <w:pStyle w:val="SIText"/>
            </w:pPr>
            <w:r w:rsidRPr="00AF1BE8">
              <w:t xml:space="preserve">This version released with FBP Food, Beverage and Pharmaceutical Training Package Version </w:t>
            </w:r>
            <w:r w:rsidR="006944AC">
              <w:t>6</w:t>
            </w:r>
            <w:r>
              <w:t>.0</w:t>
            </w:r>
          </w:p>
        </w:tc>
      </w:tr>
    </w:tbl>
    <w:p w14:paraId="68B728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B613D23" w14:textId="77777777" w:rsidTr="00CA2922">
        <w:trPr>
          <w:tblHeader/>
        </w:trPr>
        <w:tc>
          <w:tcPr>
            <w:tcW w:w="1396" w:type="pct"/>
            <w:shd w:val="clear" w:color="auto" w:fill="auto"/>
          </w:tcPr>
          <w:p w14:paraId="55A00B7A" w14:textId="77777777" w:rsidR="00F1480E" w:rsidRPr="000754EC" w:rsidRDefault="00842759" w:rsidP="000754EC">
            <w:pPr>
              <w:pStyle w:val="SIUNITCODE"/>
            </w:pPr>
            <w:r>
              <w:t>FBPOPR</w:t>
            </w:r>
            <w:r w:rsidR="00CD1993">
              <w:t>2XX1</w:t>
            </w:r>
          </w:p>
        </w:tc>
        <w:tc>
          <w:tcPr>
            <w:tcW w:w="3604" w:type="pct"/>
            <w:shd w:val="clear" w:color="auto" w:fill="auto"/>
          </w:tcPr>
          <w:p w14:paraId="77E51B9D" w14:textId="7B01402E" w:rsidR="00F1480E" w:rsidRPr="000754EC" w:rsidRDefault="00CD1993" w:rsidP="000754EC">
            <w:pPr>
              <w:pStyle w:val="SIUnittitle"/>
            </w:pPr>
            <w:r>
              <w:t xml:space="preserve">Follow </w:t>
            </w:r>
            <w:r w:rsidR="00C91257">
              <w:t>procedures</w:t>
            </w:r>
            <w:r>
              <w:t xml:space="preserve"> to maintain</w:t>
            </w:r>
            <w:r w:rsidR="00095EF7" w:rsidRPr="00AF1BE8">
              <w:t xml:space="preserve"> </w:t>
            </w:r>
            <w:r w:rsidR="00DE3F9C">
              <w:t>g</w:t>
            </w:r>
            <w:r w:rsidR="00095EF7" w:rsidRPr="00AF1BE8">
              <w:t xml:space="preserve">ood </w:t>
            </w:r>
            <w:r w:rsidR="00DE3F9C">
              <w:t>m</w:t>
            </w:r>
            <w:r w:rsidR="00095EF7" w:rsidRPr="00AF1BE8">
              <w:t xml:space="preserve">anufacturing </w:t>
            </w:r>
            <w:r w:rsidR="00DE3F9C">
              <w:t>p</w:t>
            </w:r>
            <w:r w:rsidR="00095EF7" w:rsidRPr="00AF1BE8">
              <w:t xml:space="preserve">ractice </w:t>
            </w:r>
            <w:r w:rsidR="00095EF7">
              <w:t>in food processing</w:t>
            </w:r>
          </w:p>
        </w:tc>
      </w:tr>
      <w:tr w:rsidR="00F1480E" w:rsidRPr="00963A46" w14:paraId="5A4A99E2" w14:textId="77777777" w:rsidTr="00CA2922">
        <w:tc>
          <w:tcPr>
            <w:tcW w:w="1396" w:type="pct"/>
            <w:shd w:val="clear" w:color="auto" w:fill="auto"/>
          </w:tcPr>
          <w:p w14:paraId="4C733F28" w14:textId="77777777" w:rsidR="00F1480E" w:rsidRPr="000754EC" w:rsidRDefault="00FD557D" w:rsidP="000754EC">
            <w:pPr>
              <w:pStyle w:val="SIHeading2"/>
            </w:pPr>
            <w:r w:rsidRPr="00FD557D">
              <w:t>Application</w:t>
            </w:r>
          </w:p>
          <w:p w14:paraId="7C4ABA65" w14:textId="77777777" w:rsidR="00FD557D" w:rsidRPr="00923720" w:rsidRDefault="00FD557D" w:rsidP="000754EC">
            <w:pPr>
              <w:pStyle w:val="SIHeading2"/>
            </w:pPr>
          </w:p>
        </w:tc>
        <w:tc>
          <w:tcPr>
            <w:tcW w:w="3604" w:type="pct"/>
            <w:shd w:val="clear" w:color="auto" w:fill="auto"/>
          </w:tcPr>
          <w:p w14:paraId="59DD9EDD" w14:textId="071DE7E2" w:rsidR="00C91257" w:rsidRDefault="00C91257" w:rsidP="00C91257">
            <w:r w:rsidRPr="00C91257">
              <w:t xml:space="preserve">This unit of competency describes the skills and knowledge required to comply with relevant Good Manufacturing Practice (GMP) requirements and workplace </w:t>
            </w:r>
            <w:r w:rsidR="000E0A3C" w:rsidRPr="000E0A3C">
              <w:t>quality standards in a food or beverage processing facility.</w:t>
            </w:r>
          </w:p>
          <w:p w14:paraId="26246CF6" w14:textId="77777777" w:rsidR="00C91257" w:rsidRPr="00C91257" w:rsidRDefault="00C91257" w:rsidP="00C91257"/>
          <w:p w14:paraId="5E74E9B0" w14:textId="02C2E48B" w:rsidR="00C91257" w:rsidRDefault="00C91257" w:rsidP="00C91257">
            <w:r w:rsidRPr="00C91257">
              <w:t xml:space="preserve">The unit applies to individuals who follow GMP requirements to undertake routine </w:t>
            </w:r>
            <w:r w:rsidR="000E0A3C">
              <w:t>food processing</w:t>
            </w:r>
            <w:r w:rsidRPr="00C91257">
              <w:t xml:space="preserve"> work, under supervision.</w:t>
            </w:r>
          </w:p>
          <w:p w14:paraId="09C65262" w14:textId="77777777" w:rsidR="009E1501" w:rsidRDefault="009E1501" w:rsidP="00C91257"/>
          <w:p w14:paraId="6474F7E5" w14:textId="765700B4" w:rsidR="009E1501" w:rsidRDefault="009E1501" w:rsidP="00C91257">
            <w:r w:rsidRPr="006944AC">
              <w:t xml:space="preserve">All work must be carried out to comply with workplace procedures according to state/territory health and safety, environmental and food safety regulations, </w:t>
            </w:r>
            <w:proofErr w:type="gramStart"/>
            <w:r w:rsidRPr="006944AC">
              <w:t>legislation</w:t>
            </w:r>
            <w:proofErr w:type="gramEnd"/>
            <w:r w:rsidRPr="006944AC">
              <w:t xml:space="preserve"> and </w:t>
            </w:r>
            <w:r w:rsidRPr="009E1501">
              <w:t>standards that apply to the workplace</w:t>
            </w:r>
          </w:p>
          <w:p w14:paraId="4635FA5A" w14:textId="77777777" w:rsidR="00C91257" w:rsidRPr="00C91257" w:rsidRDefault="00C91257" w:rsidP="00C91257"/>
          <w:p w14:paraId="1FD21A60" w14:textId="77777777" w:rsidR="00373436" w:rsidRPr="000754EC" w:rsidRDefault="00373436" w:rsidP="00095EF7">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r w:rsidRPr="00105AEA">
              <w:rPr>
                <w:rStyle w:val="SITemporaryText-red"/>
                <w:color w:val="auto"/>
                <w:sz w:val="20"/>
              </w:rPr>
              <w:t xml:space="preserve"> </w:t>
            </w:r>
          </w:p>
        </w:tc>
      </w:tr>
      <w:tr w:rsidR="00F1480E" w:rsidRPr="00963A46" w14:paraId="721784E1" w14:textId="77777777" w:rsidTr="00CA2922">
        <w:tc>
          <w:tcPr>
            <w:tcW w:w="1396" w:type="pct"/>
            <w:shd w:val="clear" w:color="auto" w:fill="auto"/>
          </w:tcPr>
          <w:p w14:paraId="7AFE581A" w14:textId="77777777" w:rsidR="00F1480E" w:rsidRPr="000754EC" w:rsidRDefault="00FD557D" w:rsidP="000754EC">
            <w:pPr>
              <w:pStyle w:val="SIHeading2"/>
            </w:pPr>
            <w:r w:rsidRPr="00923720">
              <w:t>Prerequisite Unit</w:t>
            </w:r>
          </w:p>
        </w:tc>
        <w:tc>
          <w:tcPr>
            <w:tcW w:w="3604" w:type="pct"/>
            <w:shd w:val="clear" w:color="auto" w:fill="auto"/>
          </w:tcPr>
          <w:p w14:paraId="0A86D7F5" w14:textId="77777777" w:rsidR="00F1480E" w:rsidRPr="000754EC" w:rsidRDefault="00F1480E" w:rsidP="000754EC">
            <w:pPr>
              <w:pStyle w:val="SIText"/>
            </w:pPr>
            <w:r w:rsidRPr="008908DE">
              <w:t>Ni</w:t>
            </w:r>
            <w:r w:rsidR="007A300D" w:rsidRPr="000754EC">
              <w:t xml:space="preserve">l </w:t>
            </w:r>
          </w:p>
        </w:tc>
      </w:tr>
      <w:tr w:rsidR="00F1480E" w:rsidRPr="00963A46" w14:paraId="1EEF2D20" w14:textId="77777777" w:rsidTr="00CA2922">
        <w:tc>
          <w:tcPr>
            <w:tcW w:w="1396" w:type="pct"/>
            <w:shd w:val="clear" w:color="auto" w:fill="auto"/>
          </w:tcPr>
          <w:p w14:paraId="0B519265" w14:textId="77777777" w:rsidR="00F1480E" w:rsidRPr="000754EC" w:rsidRDefault="00FD557D" w:rsidP="000754EC">
            <w:pPr>
              <w:pStyle w:val="SIHeading2"/>
            </w:pPr>
            <w:r w:rsidRPr="00923720">
              <w:t>Unit Sector</w:t>
            </w:r>
          </w:p>
        </w:tc>
        <w:tc>
          <w:tcPr>
            <w:tcW w:w="3604" w:type="pct"/>
            <w:shd w:val="clear" w:color="auto" w:fill="auto"/>
          </w:tcPr>
          <w:p w14:paraId="5369DA79" w14:textId="77777777" w:rsidR="00F1480E" w:rsidRPr="000754EC" w:rsidRDefault="00C91257" w:rsidP="000754EC">
            <w:pPr>
              <w:pStyle w:val="SIText"/>
            </w:pPr>
            <w:r>
              <w:t>Operational (OPR)</w:t>
            </w:r>
          </w:p>
        </w:tc>
      </w:tr>
    </w:tbl>
    <w:p w14:paraId="58A2DD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0DE3400" w14:textId="77777777" w:rsidTr="00CA2922">
        <w:trPr>
          <w:cantSplit/>
          <w:tblHeader/>
        </w:trPr>
        <w:tc>
          <w:tcPr>
            <w:tcW w:w="1396" w:type="pct"/>
            <w:tcBorders>
              <w:bottom w:val="single" w:sz="4" w:space="0" w:color="C0C0C0"/>
            </w:tcBorders>
            <w:shd w:val="clear" w:color="auto" w:fill="auto"/>
          </w:tcPr>
          <w:p w14:paraId="7B29650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E15AEC2" w14:textId="77777777" w:rsidR="00F1480E" w:rsidRPr="000754EC" w:rsidRDefault="00FD557D" w:rsidP="000754EC">
            <w:pPr>
              <w:pStyle w:val="SIHeading2"/>
            </w:pPr>
            <w:r w:rsidRPr="00923720">
              <w:t>Performance Criteria</w:t>
            </w:r>
          </w:p>
        </w:tc>
      </w:tr>
      <w:tr w:rsidR="00F1480E" w:rsidRPr="00963A46" w14:paraId="12B688EE" w14:textId="77777777" w:rsidTr="00CA2922">
        <w:trPr>
          <w:cantSplit/>
          <w:tblHeader/>
        </w:trPr>
        <w:tc>
          <w:tcPr>
            <w:tcW w:w="1396" w:type="pct"/>
            <w:tcBorders>
              <w:top w:val="single" w:sz="4" w:space="0" w:color="C0C0C0"/>
            </w:tcBorders>
            <w:shd w:val="clear" w:color="auto" w:fill="auto"/>
          </w:tcPr>
          <w:p w14:paraId="077DB0A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BEEC98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91257" w:rsidRPr="00963A46" w14:paraId="0B300E19" w14:textId="77777777" w:rsidTr="00CA2922">
        <w:trPr>
          <w:cantSplit/>
        </w:trPr>
        <w:tc>
          <w:tcPr>
            <w:tcW w:w="1396" w:type="pct"/>
            <w:shd w:val="clear" w:color="auto" w:fill="auto"/>
          </w:tcPr>
          <w:p w14:paraId="7FAFC52F" w14:textId="77777777" w:rsidR="00C91257" w:rsidRPr="00C91257" w:rsidRDefault="00C91257" w:rsidP="00C91257">
            <w:pPr>
              <w:rPr>
                <w:lang w:val="en-NZ"/>
              </w:rPr>
            </w:pPr>
            <w:r w:rsidRPr="00C91257">
              <w:t>1. Identify requirements of GMP related to own work</w:t>
            </w:r>
          </w:p>
        </w:tc>
        <w:tc>
          <w:tcPr>
            <w:tcW w:w="3604" w:type="pct"/>
            <w:shd w:val="clear" w:color="auto" w:fill="auto"/>
          </w:tcPr>
          <w:p w14:paraId="152C9B28" w14:textId="77777777" w:rsidR="00C91257" w:rsidRPr="00C91257" w:rsidRDefault="00C91257" w:rsidP="00C91257">
            <w:r w:rsidRPr="00C91257">
              <w:t>1.1 Locate sources of information on GMP requirements in the workplace</w:t>
            </w:r>
          </w:p>
          <w:p w14:paraId="6B490367" w14:textId="46C8E949" w:rsidR="00C91257" w:rsidRPr="00C91257" w:rsidRDefault="00C91257" w:rsidP="00C91257">
            <w:r w:rsidRPr="00C91257">
              <w:t xml:space="preserve">1.2 Identify GMP requirements for </w:t>
            </w:r>
            <w:r w:rsidR="000E0A3C">
              <w:t>food processing work</w:t>
            </w:r>
          </w:p>
          <w:p w14:paraId="6B147742" w14:textId="77777777" w:rsidR="00C91257" w:rsidRPr="00C91257" w:rsidRDefault="00C91257" w:rsidP="00C91257">
            <w:pPr>
              <w:rPr>
                <w:lang w:val="en-NZ"/>
              </w:rPr>
            </w:pPr>
            <w:r w:rsidRPr="00C91257">
              <w:t xml:space="preserve">1.3 Confirm specific GMP requirements for own work </w:t>
            </w:r>
          </w:p>
        </w:tc>
      </w:tr>
      <w:tr w:rsidR="00C91257" w:rsidRPr="00963A46" w14:paraId="7A9FDB4A" w14:textId="77777777" w:rsidTr="00CA2922">
        <w:trPr>
          <w:cantSplit/>
        </w:trPr>
        <w:tc>
          <w:tcPr>
            <w:tcW w:w="1396" w:type="pct"/>
            <w:shd w:val="clear" w:color="auto" w:fill="auto"/>
          </w:tcPr>
          <w:p w14:paraId="4D9996F2" w14:textId="77777777" w:rsidR="00C91257" w:rsidRPr="00C91257" w:rsidRDefault="00C91257" w:rsidP="00C91257">
            <w:r w:rsidRPr="00C91257">
              <w:t>2. Prepare for work</w:t>
            </w:r>
          </w:p>
        </w:tc>
        <w:tc>
          <w:tcPr>
            <w:tcW w:w="3604" w:type="pct"/>
            <w:shd w:val="clear" w:color="auto" w:fill="auto"/>
          </w:tcPr>
          <w:p w14:paraId="18408ECB" w14:textId="77777777" w:rsidR="00C91257" w:rsidRPr="00C91257" w:rsidRDefault="00C91257" w:rsidP="00C91257">
            <w:r w:rsidRPr="00C91257">
              <w:t>2.1 Ensure personal hygiene meets GMP requirements</w:t>
            </w:r>
          </w:p>
          <w:p w14:paraId="7FB2C328" w14:textId="77777777" w:rsidR="00C91257" w:rsidRPr="00C91257" w:rsidRDefault="00C91257" w:rsidP="00C91257">
            <w:r w:rsidRPr="00C91257">
              <w:t>2.2 Prepare, use, store and dispose of personal protective equipment and contamination prevention clothing according to GMP requirements and workplace procedures</w:t>
            </w:r>
          </w:p>
          <w:p w14:paraId="07F5C554" w14:textId="77777777" w:rsidR="00C91257" w:rsidRPr="00C91257" w:rsidRDefault="00C91257" w:rsidP="00C91257">
            <w:pPr>
              <w:rPr>
                <w:lang w:val="en-NZ"/>
              </w:rPr>
            </w:pPr>
            <w:r w:rsidRPr="00C91257">
              <w:t xml:space="preserve">2.3 Comply with area entry and exit procedures when moving around the workplace </w:t>
            </w:r>
          </w:p>
        </w:tc>
      </w:tr>
      <w:tr w:rsidR="00C91257" w:rsidRPr="00963A46" w14:paraId="532B9E72" w14:textId="77777777" w:rsidTr="00CA2922">
        <w:trPr>
          <w:cantSplit/>
        </w:trPr>
        <w:tc>
          <w:tcPr>
            <w:tcW w:w="1396" w:type="pct"/>
            <w:shd w:val="clear" w:color="auto" w:fill="auto"/>
          </w:tcPr>
          <w:p w14:paraId="61AC936D" w14:textId="77777777" w:rsidR="00C91257" w:rsidRPr="00C91257" w:rsidRDefault="00C91257" w:rsidP="00C91257">
            <w:r w:rsidRPr="00C91257">
              <w:t>3. Follow GMP requirements when carrying out work activities</w:t>
            </w:r>
          </w:p>
        </w:tc>
        <w:tc>
          <w:tcPr>
            <w:tcW w:w="3604" w:type="pct"/>
            <w:shd w:val="clear" w:color="auto" w:fill="auto"/>
          </w:tcPr>
          <w:p w14:paraId="34A0AC04" w14:textId="77777777" w:rsidR="00C91257" w:rsidRPr="00C91257" w:rsidRDefault="00C91257" w:rsidP="00C91257">
            <w:r w:rsidRPr="00C91257">
              <w:t>3.1 Routinely monitor work area, materials and equipment to ensure compliance with GMP requirements</w:t>
            </w:r>
          </w:p>
          <w:p w14:paraId="12F3F31E" w14:textId="77777777" w:rsidR="00C91257" w:rsidRPr="00C91257" w:rsidRDefault="00C91257" w:rsidP="00C91257">
            <w:r w:rsidRPr="00C91257">
              <w:t>3.2 Handle raw materials, product and packaging components according to GMP requirements and workplace procedures</w:t>
            </w:r>
          </w:p>
          <w:p w14:paraId="33C27B53" w14:textId="77777777" w:rsidR="00C91257" w:rsidRPr="00C91257" w:rsidRDefault="00C91257" w:rsidP="00C91257">
            <w:r w:rsidRPr="00C91257">
              <w:t>3.3 Identify contamination and follow appropriate control measures relating to work responsibilities and GMP requirements</w:t>
            </w:r>
          </w:p>
          <w:p w14:paraId="4701E62F" w14:textId="77777777" w:rsidR="00C91257" w:rsidRPr="00C91257" w:rsidRDefault="00C91257" w:rsidP="00C91257">
            <w:r w:rsidRPr="00C91257">
              <w:t>3.4 Identify processes, practices or conditions which are inconsistent with GMP requirements and report according to workplace procedures</w:t>
            </w:r>
          </w:p>
          <w:p w14:paraId="2EE87A68" w14:textId="77777777" w:rsidR="00C91257" w:rsidRPr="00C91257" w:rsidRDefault="00C91257" w:rsidP="00C91257">
            <w:r w:rsidRPr="00C91257">
              <w:t>3.5 Maintain workplace cleanliness and tidiness to meet GMP requirements</w:t>
            </w:r>
          </w:p>
          <w:p w14:paraId="27ACBFC0" w14:textId="30969795" w:rsidR="00C91257" w:rsidRPr="00C91257" w:rsidRDefault="00C91257" w:rsidP="00C91257">
            <w:r w:rsidRPr="00C91257">
              <w:t xml:space="preserve">3.6 Conduct work according to </w:t>
            </w:r>
            <w:r w:rsidR="000E0A3C">
              <w:t xml:space="preserve">food safety and </w:t>
            </w:r>
            <w:r w:rsidRPr="00C91257">
              <w:t>environmental procedures</w:t>
            </w:r>
          </w:p>
          <w:p w14:paraId="2944E5AB" w14:textId="77777777" w:rsidR="00C91257" w:rsidRPr="00C91257" w:rsidRDefault="00C91257" w:rsidP="00C91257">
            <w:r w:rsidRPr="00C91257">
              <w:t xml:space="preserve">3.7 Complete documentation according to workplace procedures </w:t>
            </w:r>
          </w:p>
        </w:tc>
      </w:tr>
    </w:tbl>
    <w:p w14:paraId="4B6A66A3" w14:textId="77777777" w:rsidR="005F771F" w:rsidRDefault="005F771F" w:rsidP="005F771F">
      <w:pPr>
        <w:pStyle w:val="SIText"/>
      </w:pPr>
    </w:p>
    <w:p w14:paraId="4BF05248" w14:textId="77777777" w:rsidR="005F771F" w:rsidRPr="000754EC" w:rsidRDefault="005F771F" w:rsidP="000754EC">
      <w:r>
        <w:br w:type="page"/>
      </w:r>
    </w:p>
    <w:p w14:paraId="5D91708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5434079" w14:textId="77777777" w:rsidTr="00CA2922">
        <w:trPr>
          <w:tblHeader/>
        </w:trPr>
        <w:tc>
          <w:tcPr>
            <w:tcW w:w="5000" w:type="pct"/>
            <w:gridSpan w:val="2"/>
          </w:tcPr>
          <w:p w14:paraId="2F975CEA" w14:textId="77777777" w:rsidR="00F1480E" w:rsidRPr="000754EC" w:rsidRDefault="00FD557D" w:rsidP="000754EC">
            <w:pPr>
              <w:pStyle w:val="SIHeading2"/>
            </w:pPr>
            <w:r w:rsidRPr="00041E59">
              <w:t>F</w:t>
            </w:r>
            <w:r w:rsidRPr="000754EC">
              <w:t>oundation Skills</w:t>
            </w:r>
          </w:p>
          <w:p w14:paraId="5CD43D5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AA27B67" w14:textId="77777777" w:rsidTr="00CA2922">
        <w:trPr>
          <w:tblHeader/>
        </w:trPr>
        <w:tc>
          <w:tcPr>
            <w:tcW w:w="1396" w:type="pct"/>
          </w:tcPr>
          <w:p w14:paraId="100D4F6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ACF0E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91257" w:rsidRPr="00336FCA" w:rsidDel="00423CB2" w14:paraId="7AD69A59" w14:textId="77777777" w:rsidTr="00CA2922">
        <w:tc>
          <w:tcPr>
            <w:tcW w:w="1396" w:type="pct"/>
          </w:tcPr>
          <w:p w14:paraId="3664DBB6" w14:textId="77777777" w:rsidR="00C91257" w:rsidRPr="00C91257" w:rsidRDefault="00C91257" w:rsidP="00C91257">
            <w:pPr>
              <w:rPr>
                <w:lang w:val="en-NZ"/>
              </w:rPr>
            </w:pPr>
            <w:r w:rsidRPr="00C91257">
              <w:t>Reading</w:t>
            </w:r>
          </w:p>
        </w:tc>
        <w:tc>
          <w:tcPr>
            <w:tcW w:w="3604" w:type="pct"/>
          </w:tcPr>
          <w:p w14:paraId="564D9EEC" w14:textId="77777777" w:rsidR="00C91257" w:rsidRPr="00C91257" w:rsidRDefault="00C91257" w:rsidP="00C91257">
            <w:r w:rsidRPr="00C91257">
              <w:t xml:space="preserve">Identify and comprehend information about GMP requirements </w:t>
            </w:r>
          </w:p>
        </w:tc>
      </w:tr>
      <w:tr w:rsidR="00C91257" w:rsidRPr="00336FCA" w:rsidDel="00423CB2" w14:paraId="1DD38EA0" w14:textId="77777777" w:rsidTr="00CA2922">
        <w:tc>
          <w:tcPr>
            <w:tcW w:w="1396" w:type="pct"/>
          </w:tcPr>
          <w:p w14:paraId="15EC47A3" w14:textId="77777777" w:rsidR="00C91257" w:rsidRPr="00C91257" w:rsidRDefault="00C91257" w:rsidP="00C91257">
            <w:r w:rsidRPr="00C91257">
              <w:t>Writing</w:t>
            </w:r>
          </w:p>
        </w:tc>
        <w:tc>
          <w:tcPr>
            <w:tcW w:w="3604" w:type="pct"/>
          </w:tcPr>
          <w:p w14:paraId="24850312" w14:textId="711CC6D4" w:rsidR="00C91257" w:rsidRPr="00C91257" w:rsidRDefault="000E0A3C" w:rsidP="00C91257">
            <w:r w:rsidRPr="000E0A3C">
              <w:t>Record workplace information using digital and/or paper-based formats</w:t>
            </w:r>
          </w:p>
        </w:tc>
      </w:tr>
    </w:tbl>
    <w:p w14:paraId="77D38DCC" w14:textId="77777777" w:rsidR="00916CD7" w:rsidRDefault="00916CD7" w:rsidP="005F771F">
      <w:pPr>
        <w:pStyle w:val="SIText"/>
      </w:pPr>
    </w:p>
    <w:p w14:paraId="09F3B6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8C4C326" w14:textId="77777777" w:rsidTr="00F33FF2">
        <w:tc>
          <w:tcPr>
            <w:tcW w:w="5000" w:type="pct"/>
            <w:gridSpan w:val="4"/>
          </w:tcPr>
          <w:p w14:paraId="65A3D239" w14:textId="77777777" w:rsidR="00F1480E" w:rsidRPr="000754EC" w:rsidRDefault="00FD557D" w:rsidP="000754EC">
            <w:pPr>
              <w:pStyle w:val="SIHeading2"/>
            </w:pPr>
            <w:r w:rsidRPr="00923720">
              <w:t>U</w:t>
            </w:r>
            <w:r w:rsidRPr="000754EC">
              <w:t>nit Mapping Information</w:t>
            </w:r>
          </w:p>
        </w:tc>
      </w:tr>
      <w:tr w:rsidR="00F1480E" w14:paraId="70A23BE2" w14:textId="77777777" w:rsidTr="00F33FF2">
        <w:tc>
          <w:tcPr>
            <w:tcW w:w="1028" w:type="pct"/>
          </w:tcPr>
          <w:p w14:paraId="0F7F7EF8" w14:textId="77777777" w:rsidR="00F1480E" w:rsidRPr="000754EC" w:rsidRDefault="00F1480E" w:rsidP="000754EC">
            <w:pPr>
              <w:pStyle w:val="SIText-Bold"/>
            </w:pPr>
            <w:r w:rsidRPr="00923720">
              <w:t>Code and title current version</w:t>
            </w:r>
          </w:p>
        </w:tc>
        <w:tc>
          <w:tcPr>
            <w:tcW w:w="1105" w:type="pct"/>
          </w:tcPr>
          <w:p w14:paraId="2936B4B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2C02C19" w14:textId="77777777" w:rsidR="00F1480E" w:rsidRPr="000754EC" w:rsidRDefault="00F1480E" w:rsidP="000754EC">
            <w:pPr>
              <w:pStyle w:val="SIText-Bold"/>
            </w:pPr>
            <w:r w:rsidRPr="00923720">
              <w:t>Comments</w:t>
            </w:r>
          </w:p>
        </w:tc>
        <w:tc>
          <w:tcPr>
            <w:tcW w:w="1616" w:type="pct"/>
          </w:tcPr>
          <w:p w14:paraId="11687D79" w14:textId="77777777" w:rsidR="00F1480E" w:rsidRPr="000754EC" w:rsidRDefault="00F1480E" w:rsidP="000754EC">
            <w:pPr>
              <w:pStyle w:val="SIText-Bold"/>
            </w:pPr>
            <w:r w:rsidRPr="00923720">
              <w:t>Equivalence status</w:t>
            </w:r>
          </w:p>
        </w:tc>
      </w:tr>
      <w:tr w:rsidR="00041E59" w14:paraId="094ECBD6" w14:textId="77777777" w:rsidTr="00F33FF2">
        <w:tc>
          <w:tcPr>
            <w:tcW w:w="1028" w:type="pct"/>
          </w:tcPr>
          <w:p w14:paraId="1AE03E65" w14:textId="26B8A5ED" w:rsidR="00CD1993" w:rsidRPr="00CD1993" w:rsidRDefault="00CD1993" w:rsidP="00CD1993">
            <w:r w:rsidRPr="00CD1993">
              <w:t xml:space="preserve">FBPOPR2XX1 Follow </w:t>
            </w:r>
            <w:r w:rsidR="00C91257">
              <w:t>procedures</w:t>
            </w:r>
            <w:r w:rsidRPr="00CD1993">
              <w:t xml:space="preserve"> to maintain </w:t>
            </w:r>
            <w:r w:rsidR="00DE3F9C">
              <w:t>g</w:t>
            </w:r>
            <w:r w:rsidRPr="00CD1993">
              <w:t xml:space="preserve">ood </w:t>
            </w:r>
            <w:r w:rsidR="00DE3F9C">
              <w:t>m</w:t>
            </w:r>
            <w:r w:rsidRPr="00CD1993">
              <w:t xml:space="preserve">anufacturing </w:t>
            </w:r>
            <w:r w:rsidR="00DE3F9C">
              <w:t>p</w:t>
            </w:r>
            <w:r w:rsidRPr="00CD1993">
              <w:t>ractice in food processing</w:t>
            </w:r>
          </w:p>
          <w:p w14:paraId="27C674BF" w14:textId="77777777" w:rsidR="00041E59" w:rsidRPr="000754EC" w:rsidRDefault="00041E59" w:rsidP="000754EC">
            <w:pPr>
              <w:pStyle w:val="SIText"/>
            </w:pPr>
          </w:p>
        </w:tc>
        <w:tc>
          <w:tcPr>
            <w:tcW w:w="1105" w:type="pct"/>
          </w:tcPr>
          <w:p w14:paraId="037984E1" w14:textId="6529AB63" w:rsidR="00041E59" w:rsidRPr="000754EC" w:rsidRDefault="006944AC" w:rsidP="000754EC">
            <w:pPr>
              <w:pStyle w:val="SIText"/>
            </w:pPr>
            <w:r>
              <w:t>Not applicable</w:t>
            </w:r>
          </w:p>
        </w:tc>
        <w:tc>
          <w:tcPr>
            <w:tcW w:w="1251" w:type="pct"/>
          </w:tcPr>
          <w:p w14:paraId="2621DAF9" w14:textId="77777777" w:rsidR="006944AC" w:rsidRPr="006944AC" w:rsidRDefault="006944AC" w:rsidP="006944AC">
            <w:r w:rsidRPr="006944AC">
              <w:t>The unit has been created to address a skill or task required by industry that is not covered by an existing unit</w:t>
            </w:r>
          </w:p>
          <w:p w14:paraId="67EB55C5" w14:textId="1233157B" w:rsidR="00041E59" w:rsidRPr="000754EC" w:rsidRDefault="00041E59" w:rsidP="000754EC">
            <w:pPr>
              <w:pStyle w:val="SIText"/>
            </w:pPr>
          </w:p>
        </w:tc>
        <w:tc>
          <w:tcPr>
            <w:tcW w:w="1616" w:type="pct"/>
          </w:tcPr>
          <w:p w14:paraId="46ACD96C" w14:textId="77777777" w:rsidR="006944AC" w:rsidRPr="006944AC" w:rsidRDefault="006944AC" w:rsidP="006944AC">
            <w:r w:rsidRPr="006944AC">
              <w:t>Newly created</w:t>
            </w:r>
          </w:p>
          <w:p w14:paraId="4A4662F2" w14:textId="4CCBDC1C" w:rsidR="00916CD7" w:rsidRPr="000754EC" w:rsidRDefault="00916CD7" w:rsidP="000754EC">
            <w:pPr>
              <w:pStyle w:val="SIText"/>
            </w:pPr>
          </w:p>
        </w:tc>
      </w:tr>
    </w:tbl>
    <w:p w14:paraId="2EEE96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B69D9AE" w14:textId="77777777" w:rsidTr="00CA2922">
        <w:tc>
          <w:tcPr>
            <w:tcW w:w="1396" w:type="pct"/>
            <w:shd w:val="clear" w:color="auto" w:fill="auto"/>
          </w:tcPr>
          <w:p w14:paraId="12022B1C" w14:textId="77777777" w:rsidR="00F1480E" w:rsidRPr="000754EC" w:rsidRDefault="00FD557D" w:rsidP="000754EC">
            <w:pPr>
              <w:pStyle w:val="SIHeading2"/>
            </w:pPr>
            <w:r w:rsidRPr="00CC451E">
              <w:t>L</w:t>
            </w:r>
            <w:r w:rsidRPr="000754EC">
              <w:t>inks</w:t>
            </w:r>
          </w:p>
        </w:tc>
        <w:tc>
          <w:tcPr>
            <w:tcW w:w="3604" w:type="pct"/>
            <w:shd w:val="clear" w:color="auto" w:fill="auto"/>
          </w:tcPr>
          <w:p w14:paraId="783C90B5" w14:textId="77777777" w:rsidR="00DC1BFF" w:rsidRPr="000754EC" w:rsidRDefault="00520E9A" w:rsidP="00DC1BFF">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6887128" w14:textId="77777777" w:rsidR="00F1480E" w:rsidRPr="000754EC" w:rsidRDefault="00DC1BFF" w:rsidP="00DC1BFF">
            <w:pPr>
              <w:pStyle w:val="SIText"/>
            </w:pPr>
            <w:r w:rsidRPr="00C9141C">
              <w:t>https://vetnet.gov.au/Pages/TrainingDocs.aspx?q=78b15323-cd38-483e-aad7-1159b570a5c4</w:t>
            </w:r>
          </w:p>
        </w:tc>
      </w:tr>
    </w:tbl>
    <w:p w14:paraId="26D0D35C" w14:textId="77777777" w:rsidR="00F1480E" w:rsidRDefault="00F1480E" w:rsidP="005F771F">
      <w:pPr>
        <w:pStyle w:val="SIText"/>
      </w:pPr>
    </w:p>
    <w:p w14:paraId="344940A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0B0ED07" w14:textId="77777777" w:rsidTr="00113678">
        <w:trPr>
          <w:tblHeader/>
        </w:trPr>
        <w:tc>
          <w:tcPr>
            <w:tcW w:w="1478" w:type="pct"/>
            <w:shd w:val="clear" w:color="auto" w:fill="auto"/>
          </w:tcPr>
          <w:p w14:paraId="7942CE9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2FB607A" w14:textId="30442E15" w:rsidR="00556C4C" w:rsidRPr="000754EC" w:rsidRDefault="00556C4C" w:rsidP="00CD1993">
            <w:pPr>
              <w:pStyle w:val="SIUnittitle"/>
            </w:pPr>
            <w:r w:rsidRPr="00F56827">
              <w:t xml:space="preserve">Assessment requirements for </w:t>
            </w:r>
            <w:r w:rsidR="00CD1993" w:rsidRPr="00CD1993">
              <w:t xml:space="preserve">FBPOPR2XX1 Follow </w:t>
            </w:r>
            <w:r w:rsidR="00C91257">
              <w:t>procedures</w:t>
            </w:r>
            <w:r w:rsidR="00CD1993" w:rsidRPr="00CD1993">
              <w:t xml:space="preserve"> to maintain </w:t>
            </w:r>
            <w:r w:rsidR="00DE3F9C">
              <w:t>g</w:t>
            </w:r>
            <w:r w:rsidR="00CD1993" w:rsidRPr="00CD1993">
              <w:t xml:space="preserve">ood </w:t>
            </w:r>
            <w:r w:rsidR="00DE3F9C">
              <w:t>m</w:t>
            </w:r>
            <w:r w:rsidR="00CD1993" w:rsidRPr="00CD1993">
              <w:t xml:space="preserve">anufacturing </w:t>
            </w:r>
            <w:r w:rsidR="00DE3F9C">
              <w:t>p</w:t>
            </w:r>
            <w:r w:rsidR="00CD1993" w:rsidRPr="00CD1993">
              <w:t>ractice in food processing</w:t>
            </w:r>
          </w:p>
        </w:tc>
      </w:tr>
      <w:tr w:rsidR="00556C4C" w:rsidRPr="00A55106" w14:paraId="4F6DDEE6" w14:textId="77777777" w:rsidTr="00113678">
        <w:trPr>
          <w:tblHeader/>
        </w:trPr>
        <w:tc>
          <w:tcPr>
            <w:tcW w:w="5000" w:type="pct"/>
            <w:gridSpan w:val="2"/>
            <w:shd w:val="clear" w:color="auto" w:fill="auto"/>
          </w:tcPr>
          <w:p w14:paraId="2E82150A" w14:textId="77777777" w:rsidR="00556C4C" w:rsidRPr="000754EC" w:rsidRDefault="00D71E43" w:rsidP="000754EC">
            <w:pPr>
              <w:pStyle w:val="SIHeading2"/>
            </w:pPr>
            <w:r>
              <w:t>Performance E</w:t>
            </w:r>
            <w:r w:rsidRPr="000754EC">
              <w:t>vidence</w:t>
            </w:r>
          </w:p>
        </w:tc>
      </w:tr>
      <w:tr w:rsidR="00556C4C" w:rsidRPr="00067E1C" w14:paraId="4ABDD5A8" w14:textId="77777777" w:rsidTr="00113678">
        <w:tc>
          <w:tcPr>
            <w:tcW w:w="5000" w:type="pct"/>
            <w:gridSpan w:val="2"/>
            <w:shd w:val="clear" w:color="auto" w:fill="auto"/>
          </w:tcPr>
          <w:p w14:paraId="450CF53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D28531E" w14:textId="77777777" w:rsidR="0026394F" w:rsidRDefault="0026394F" w:rsidP="00E40225">
            <w:pPr>
              <w:pStyle w:val="SIText"/>
            </w:pPr>
          </w:p>
          <w:p w14:paraId="2F095D59" w14:textId="0D5AD70D" w:rsidR="00CD1993" w:rsidRPr="00CD1993" w:rsidRDefault="00CD1993" w:rsidP="00CD1993">
            <w:r w:rsidRPr="00CD1993">
              <w:t>There must be evidence that the individual has followed work procedures to maintain Good Manufacturing Practice (GMP)</w:t>
            </w:r>
            <w:r w:rsidR="000E0A3C">
              <w:t xml:space="preserve"> to food processing work,</w:t>
            </w:r>
            <w:r w:rsidRPr="00CD1993">
              <w:t xml:space="preserve"> and demonstrated each of the following points at least once: </w:t>
            </w:r>
          </w:p>
          <w:p w14:paraId="154EE2B2" w14:textId="0C0C3FCF" w:rsidR="00CD1993" w:rsidRPr="00CD1993" w:rsidRDefault="00CD1993" w:rsidP="00CD1993">
            <w:pPr>
              <w:pStyle w:val="SIBulletList1"/>
            </w:pPr>
            <w:r w:rsidRPr="00CD1993">
              <w:t>locat</w:t>
            </w:r>
            <w:r w:rsidR="000E0A3C">
              <w:t>ing</w:t>
            </w:r>
            <w:r w:rsidRPr="00CD1993">
              <w:t xml:space="preserve"> and follow</w:t>
            </w:r>
            <w:r w:rsidR="000E0A3C">
              <w:t>ing</w:t>
            </w:r>
            <w:r w:rsidRPr="00CD1993">
              <w:t xml:space="preserve"> workplace information relating to GMP responsibilities</w:t>
            </w:r>
          </w:p>
          <w:p w14:paraId="0E5B8575" w14:textId="330F519D" w:rsidR="00CD1993" w:rsidRPr="00CD1993" w:rsidRDefault="00CD1993" w:rsidP="00CD1993">
            <w:pPr>
              <w:pStyle w:val="SIBulletList1"/>
            </w:pPr>
            <w:r w:rsidRPr="00CD1993">
              <w:t>maintain</w:t>
            </w:r>
            <w:r w:rsidR="000E0A3C">
              <w:t>ing</w:t>
            </w:r>
            <w:r w:rsidRPr="00CD1993">
              <w:t xml:space="preserve"> good personal hygiene consistent with GMP requirements, including:</w:t>
            </w:r>
          </w:p>
          <w:p w14:paraId="681B9538" w14:textId="77777777" w:rsidR="00CD1993" w:rsidRPr="00CD1993" w:rsidRDefault="00CD1993" w:rsidP="00CD1993">
            <w:pPr>
              <w:pStyle w:val="SIBulletList2"/>
            </w:pPr>
            <w:r w:rsidRPr="00CD1993">
              <w:t>making team leader or supervisor aware of reportable illness</w:t>
            </w:r>
          </w:p>
          <w:p w14:paraId="05387CA2" w14:textId="77777777" w:rsidR="00CD1993" w:rsidRPr="00CD1993" w:rsidRDefault="00CD1993" w:rsidP="00CD1993">
            <w:pPr>
              <w:pStyle w:val="SIBulletList2"/>
            </w:pPr>
            <w:r w:rsidRPr="00CD1993">
              <w:t>removal of jewellery</w:t>
            </w:r>
          </w:p>
          <w:p w14:paraId="63120CEB" w14:textId="77777777" w:rsidR="00CD1993" w:rsidRPr="00CD1993" w:rsidRDefault="00CD1993" w:rsidP="00CD1993">
            <w:pPr>
              <w:pStyle w:val="SIBulletList2"/>
            </w:pPr>
            <w:r w:rsidRPr="00CD1993">
              <w:t>removal of makeup</w:t>
            </w:r>
          </w:p>
          <w:p w14:paraId="46868ACF" w14:textId="62662A30" w:rsidR="00CD1993" w:rsidRPr="00CD1993" w:rsidRDefault="00CD1993" w:rsidP="00CD1993">
            <w:pPr>
              <w:pStyle w:val="SIBulletList1"/>
            </w:pPr>
            <w:r w:rsidRPr="00CD1993">
              <w:t>us</w:t>
            </w:r>
            <w:r w:rsidR="000E0A3C">
              <w:t>ing appropriate work methods and</w:t>
            </w:r>
            <w:r w:rsidRPr="00CD1993">
              <w:t xml:space="preserve"> personal protective </w:t>
            </w:r>
            <w:r w:rsidR="000E0A3C">
              <w:t xml:space="preserve">clothing and </w:t>
            </w:r>
            <w:r w:rsidRPr="00CD1993">
              <w:t xml:space="preserve">equipment </w:t>
            </w:r>
            <w:r w:rsidR="000E0A3C">
              <w:t>to prevent contamination and cross contamination of raw materials and ingredients</w:t>
            </w:r>
          </w:p>
          <w:p w14:paraId="3287EF35" w14:textId="33610C82" w:rsidR="00CD1993" w:rsidRPr="00CD1993" w:rsidRDefault="00CD1993" w:rsidP="00CD1993">
            <w:pPr>
              <w:pStyle w:val="SIBulletList1"/>
            </w:pPr>
            <w:r w:rsidRPr="00CD1993">
              <w:t>us</w:t>
            </w:r>
            <w:r w:rsidR="000E0A3C">
              <w:t>ing</w:t>
            </w:r>
            <w:r w:rsidRPr="00CD1993">
              <w:t xml:space="preserve"> and sto</w:t>
            </w:r>
            <w:r w:rsidR="000E0A3C">
              <w:t>ring</w:t>
            </w:r>
            <w:r w:rsidRPr="00CD1993">
              <w:t xml:space="preserve"> personal clothing and footwear consistent with GMP requirements and workplace procedures</w:t>
            </w:r>
          </w:p>
          <w:p w14:paraId="23F08D16" w14:textId="20780ABE" w:rsidR="00CD1993" w:rsidRPr="00CD1993" w:rsidRDefault="00CD1993" w:rsidP="00CD1993">
            <w:pPr>
              <w:pStyle w:val="SIBulletList1"/>
            </w:pPr>
            <w:r w:rsidRPr="00CD1993">
              <w:t>follow</w:t>
            </w:r>
            <w:r w:rsidR="000E0A3C">
              <w:t>ing</w:t>
            </w:r>
            <w:r w:rsidRPr="00CD1993">
              <w:t xml:space="preserve"> workplace procedures when moving around the workplace to maintain GMP</w:t>
            </w:r>
          </w:p>
          <w:p w14:paraId="5E614DBF" w14:textId="2736AA2F" w:rsidR="00CD1993" w:rsidRPr="00CD1993" w:rsidRDefault="00CD1993" w:rsidP="00CD1993">
            <w:pPr>
              <w:pStyle w:val="SIBulletList1"/>
            </w:pPr>
            <w:r w:rsidRPr="00CD1993">
              <w:t>follow</w:t>
            </w:r>
            <w:r w:rsidR="000E0A3C">
              <w:t>ing</w:t>
            </w:r>
            <w:r w:rsidRPr="00CD1993">
              <w:t xml:space="preserve"> GMP requirements when carrying out work functions</w:t>
            </w:r>
          </w:p>
          <w:p w14:paraId="55F08089" w14:textId="6A9F828E" w:rsidR="00CD1993" w:rsidRPr="00CD1993" w:rsidRDefault="00CD1993" w:rsidP="00CD1993">
            <w:pPr>
              <w:pStyle w:val="SIBulletList1"/>
            </w:pPr>
            <w:r w:rsidRPr="00CD1993">
              <w:t>identif</w:t>
            </w:r>
            <w:r w:rsidR="000E0A3C">
              <w:t>ying</w:t>
            </w:r>
            <w:r w:rsidRPr="00CD1993">
              <w:t xml:space="preserve"> and respond</w:t>
            </w:r>
            <w:r w:rsidR="000E0A3C">
              <w:t>ing</w:t>
            </w:r>
            <w:r w:rsidRPr="00CD1993">
              <w:t xml:space="preserve"> to performance that fails to meet GMP requirements, including:</w:t>
            </w:r>
          </w:p>
          <w:p w14:paraId="067FF40B" w14:textId="77777777" w:rsidR="00CD1993" w:rsidRPr="00CD1993" w:rsidRDefault="00CD1993" w:rsidP="00CD1993">
            <w:pPr>
              <w:pStyle w:val="SIBulletList2"/>
            </w:pPr>
            <w:proofErr w:type="gramStart"/>
            <w:r w:rsidRPr="00CD1993">
              <w:t>making adjustments</w:t>
            </w:r>
            <w:proofErr w:type="gramEnd"/>
          </w:p>
          <w:p w14:paraId="75C20F87" w14:textId="77777777" w:rsidR="00CD1993" w:rsidRPr="00CD1993" w:rsidRDefault="00CD1993" w:rsidP="00CD1993">
            <w:pPr>
              <w:pStyle w:val="SIBulletList2"/>
            </w:pPr>
            <w:r w:rsidRPr="00CD1993">
              <w:t>reporting to relevant personnel</w:t>
            </w:r>
          </w:p>
          <w:p w14:paraId="30DA9D76" w14:textId="75F0BBE1" w:rsidR="00CD1993" w:rsidRPr="00CD1993" w:rsidRDefault="000E0A3C" w:rsidP="00CD1993">
            <w:pPr>
              <w:pStyle w:val="SIBulletList1"/>
            </w:pPr>
            <w:r>
              <w:t xml:space="preserve">appropriately </w:t>
            </w:r>
            <w:r w:rsidR="00CD1993" w:rsidRPr="00CD1993">
              <w:t>handl</w:t>
            </w:r>
            <w:r>
              <w:t>ing</w:t>
            </w:r>
            <w:r w:rsidR="00CD1993" w:rsidRPr="00CD1993">
              <w:t xml:space="preserve"> and dispos</w:t>
            </w:r>
            <w:r>
              <w:t>ing</w:t>
            </w:r>
            <w:r w:rsidR="00CD1993" w:rsidRPr="00CD1993">
              <w:t xml:space="preserve"> of materials that are contaminated or non-conforming </w:t>
            </w:r>
          </w:p>
          <w:p w14:paraId="4DD7959A" w14:textId="3BBB9530" w:rsidR="00CD1993" w:rsidRPr="00CD1993" w:rsidRDefault="00CD1993" w:rsidP="00CD1993">
            <w:pPr>
              <w:pStyle w:val="SIBulletList1"/>
            </w:pPr>
            <w:r w:rsidRPr="00CD1993">
              <w:t>identif</w:t>
            </w:r>
            <w:r w:rsidR="000E0A3C">
              <w:t>ying</w:t>
            </w:r>
            <w:r w:rsidRPr="00CD1993">
              <w:t xml:space="preserve"> and report</w:t>
            </w:r>
            <w:r w:rsidR="000E0A3C">
              <w:t>ing</w:t>
            </w:r>
            <w:r w:rsidRPr="00CD1993">
              <w:t xml:space="preserve"> a situation that could compromise GMP requirements</w:t>
            </w:r>
          </w:p>
          <w:p w14:paraId="629317B3" w14:textId="1FE0F251" w:rsidR="00CD1993" w:rsidRPr="00CD1993" w:rsidRDefault="00CD1993" w:rsidP="00CD1993">
            <w:pPr>
              <w:pStyle w:val="SIBulletList1"/>
            </w:pPr>
            <w:r w:rsidRPr="00CD1993">
              <w:t>maintain</w:t>
            </w:r>
            <w:r w:rsidR="000E0A3C">
              <w:t>ing</w:t>
            </w:r>
            <w:r w:rsidRPr="00CD1993">
              <w:t xml:space="preserve"> work area in a clean and tidy state</w:t>
            </w:r>
          </w:p>
          <w:p w14:paraId="4001174D" w14:textId="74E65923" w:rsidR="00CD1993" w:rsidRPr="00CD1993" w:rsidRDefault="00CD1993" w:rsidP="00CD1993">
            <w:pPr>
              <w:pStyle w:val="SIBulletList1"/>
            </w:pPr>
            <w:r w:rsidRPr="00CD1993">
              <w:t>follow</w:t>
            </w:r>
            <w:r w:rsidR="000E0A3C">
              <w:t>ing</w:t>
            </w:r>
            <w:r w:rsidRPr="00CD1993">
              <w:t xml:space="preserve"> workplace procedures for </w:t>
            </w:r>
            <w:r w:rsidR="000E0A3C">
              <w:t>traceability.</w:t>
            </w:r>
          </w:p>
          <w:p w14:paraId="04E7C6AF" w14:textId="77777777" w:rsidR="00556C4C" w:rsidRPr="000754EC" w:rsidRDefault="00CD1993" w:rsidP="00CD1993">
            <w:pPr>
              <w:pStyle w:val="SIBulletList1"/>
              <w:numPr>
                <w:ilvl w:val="0"/>
                <w:numId w:val="0"/>
              </w:numPr>
              <w:ind w:left="357" w:hanging="357"/>
            </w:pPr>
            <w:r w:rsidRPr="00CD1993">
              <w:t xml:space="preserve"> </w:t>
            </w:r>
          </w:p>
        </w:tc>
      </w:tr>
    </w:tbl>
    <w:p w14:paraId="6FBA5C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9451C54" w14:textId="77777777" w:rsidTr="00CA2922">
        <w:trPr>
          <w:tblHeader/>
        </w:trPr>
        <w:tc>
          <w:tcPr>
            <w:tcW w:w="5000" w:type="pct"/>
            <w:shd w:val="clear" w:color="auto" w:fill="auto"/>
          </w:tcPr>
          <w:p w14:paraId="5B835AF4" w14:textId="77777777" w:rsidR="00F1480E" w:rsidRPr="000754EC" w:rsidRDefault="00D71E43" w:rsidP="000754EC">
            <w:pPr>
              <w:pStyle w:val="SIHeading2"/>
            </w:pPr>
            <w:r w:rsidRPr="002C55E9">
              <w:t>K</w:t>
            </w:r>
            <w:r w:rsidRPr="000754EC">
              <w:t>nowledge Evidence</w:t>
            </w:r>
          </w:p>
        </w:tc>
      </w:tr>
      <w:tr w:rsidR="00F1480E" w:rsidRPr="00067E1C" w14:paraId="152C6346" w14:textId="77777777" w:rsidTr="00CA2922">
        <w:tc>
          <w:tcPr>
            <w:tcW w:w="5000" w:type="pct"/>
            <w:shd w:val="clear" w:color="auto" w:fill="auto"/>
          </w:tcPr>
          <w:p w14:paraId="4B5CAC9D"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D56E4AB" w14:textId="77777777" w:rsidR="00CD1993" w:rsidRPr="00CD1993" w:rsidRDefault="00CD1993" w:rsidP="00CB5A94">
            <w:pPr>
              <w:pStyle w:val="SIBulletList1"/>
            </w:pPr>
            <w:r w:rsidRPr="00CD1993">
              <w:t>sources of advice on GMP requirements in relation to own work</w:t>
            </w:r>
          </w:p>
          <w:p w14:paraId="2214C972" w14:textId="6CAED1DD" w:rsidR="00CB5A94" w:rsidRDefault="00CB5A94" w:rsidP="00CB5A94">
            <w:pPr>
              <w:pStyle w:val="SIBulletList1"/>
            </w:pPr>
            <w:r>
              <w:t>regulatory frameworks relevant to food processing:</w:t>
            </w:r>
          </w:p>
          <w:p w14:paraId="16F83A3E" w14:textId="77777777" w:rsidR="00CB5A94" w:rsidRPr="00CB5A94" w:rsidRDefault="00CB5A94" w:rsidP="00CB5A94">
            <w:pPr>
              <w:pStyle w:val="SIBulletList2"/>
            </w:pPr>
            <w:r w:rsidRPr="00CB5A94">
              <w:t>Food Standards Code, relevant to work role and products</w:t>
            </w:r>
          </w:p>
          <w:p w14:paraId="4BDF1AF0" w14:textId="63F30AAC" w:rsidR="00CB5A94" w:rsidRPr="00CB5A94" w:rsidRDefault="00CB5A94" w:rsidP="00CB5A94">
            <w:pPr>
              <w:pStyle w:val="SIBulletList2"/>
            </w:pPr>
            <w:r w:rsidRPr="00CB5A94">
              <w:t xml:space="preserve">Hazard Analysis and Critical Control Point (HACCP) principles, for the </w:t>
            </w:r>
            <w:r w:rsidR="00E0233D">
              <w:t>workplace</w:t>
            </w:r>
            <w:r w:rsidRPr="00CB5A94">
              <w:t xml:space="preserve"> </w:t>
            </w:r>
          </w:p>
          <w:p w14:paraId="498F4199" w14:textId="35E4B587" w:rsidR="00CD1993" w:rsidRPr="00CD1993" w:rsidRDefault="00CD1993" w:rsidP="00CB5A94">
            <w:pPr>
              <w:pStyle w:val="SIBulletList1"/>
            </w:pPr>
            <w:r w:rsidRPr="00CD1993">
              <w:t>the role of GMP in preventing contamination</w:t>
            </w:r>
            <w:r w:rsidR="000E0A3C">
              <w:t>, cross-contamination</w:t>
            </w:r>
            <w:r w:rsidRPr="00CD1993">
              <w:t xml:space="preserve"> and potential implications of non-compliance</w:t>
            </w:r>
          </w:p>
          <w:p w14:paraId="17D45D61" w14:textId="77777777" w:rsidR="00CD1993" w:rsidRPr="00CD1993" w:rsidRDefault="00CD1993" w:rsidP="00CB5A94">
            <w:pPr>
              <w:pStyle w:val="SIBulletList1"/>
            </w:pPr>
            <w:r w:rsidRPr="00CD1993">
              <w:t>the relationship between GMP and the quality system, including:</w:t>
            </w:r>
          </w:p>
          <w:p w14:paraId="490F2110" w14:textId="77777777" w:rsidR="00CD1993" w:rsidRPr="00CD1993" w:rsidRDefault="00CD1993" w:rsidP="00CB5A94">
            <w:pPr>
              <w:pStyle w:val="SIBulletList2"/>
            </w:pPr>
            <w:r w:rsidRPr="00CD1993">
              <w:t>personnel responsible for designing and managing GMP</w:t>
            </w:r>
          </w:p>
          <w:p w14:paraId="64743FF2" w14:textId="77777777" w:rsidR="00CD1993" w:rsidRPr="00CD1993" w:rsidRDefault="00CD1993" w:rsidP="00CB5A94">
            <w:pPr>
              <w:pStyle w:val="SIBulletList2"/>
            </w:pPr>
            <w:r w:rsidRPr="00CD1993">
              <w:t>personal role to maintain GMP</w:t>
            </w:r>
          </w:p>
          <w:p w14:paraId="5AC61EA6" w14:textId="77777777" w:rsidR="00CD1993" w:rsidRPr="00CD1993" w:rsidRDefault="00CD1993" w:rsidP="00CB5A94">
            <w:pPr>
              <w:pStyle w:val="SIBulletList2"/>
            </w:pPr>
            <w:r w:rsidRPr="00CD1993">
              <w:t>the role of internal and external auditors</w:t>
            </w:r>
          </w:p>
          <w:p w14:paraId="7D92AA2E" w14:textId="77777777" w:rsidR="00CD1993" w:rsidRPr="00CD1993" w:rsidRDefault="00CD1993" w:rsidP="00CB5A94">
            <w:pPr>
              <w:pStyle w:val="SIBulletList1"/>
            </w:pPr>
            <w:r w:rsidRPr="00CD1993">
              <w:t>personal protective equipment and contamination prevention clothing requirements</w:t>
            </w:r>
          </w:p>
          <w:p w14:paraId="7E97ABC8" w14:textId="77777777" w:rsidR="00CD1993" w:rsidRPr="00CD1993" w:rsidRDefault="00CD1993" w:rsidP="00CB5A94">
            <w:pPr>
              <w:pStyle w:val="SIBulletList1"/>
            </w:pPr>
            <w:r w:rsidRPr="00CD1993">
              <w:t>personal clothing and footwear use, storage and disposal requirements</w:t>
            </w:r>
          </w:p>
          <w:p w14:paraId="1BA60847" w14:textId="77777777" w:rsidR="00CD1993" w:rsidRPr="00CD1993" w:rsidRDefault="00CD1993" w:rsidP="00CB5A94">
            <w:pPr>
              <w:pStyle w:val="SIBulletList1"/>
            </w:pPr>
            <w:r w:rsidRPr="00CD1993">
              <w:t>storage and handling requirements for raw materials, product and packaging components relevant to work role</w:t>
            </w:r>
          </w:p>
          <w:p w14:paraId="083BA6B0" w14:textId="77777777" w:rsidR="000E0A3C" w:rsidRPr="000E0A3C" w:rsidRDefault="000E0A3C" w:rsidP="00CB5A94">
            <w:pPr>
              <w:pStyle w:val="SIBulletList1"/>
            </w:pPr>
            <w:r w:rsidRPr="000E0A3C">
              <w:t>common microbiological, physical, chemical and allergen hazards related to the foods handled in the work area, including the types of hazards likely to occur, the conditions under which they occur, possible consequences, and control methods to prevent occurrence</w:t>
            </w:r>
          </w:p>
          <w:p w14:paraId="2ACB8B39" w14:textId="361A2150" w:rsidR="00CD1993" w:rsidRPr="00CD1993" w:rsidRDefault="00CD1993" w:rsidP="00CB5A94">
            <w:pPr>
              <w:pStyle w:val="SIBulletList1"/>
            </w:pPr>
            <w:r w:rsidRPr="00CD1993">
              <w:t>control methods and procedures used in the work area to maintain GMP, including:</w:t>
            </w:r>
          </w:p>
          <w:p w14:paraId="5DA8D29C" w14:textId="77777777" w:rsidR="00CD1993" w:rsidRPr="00CD1993" w:rsidRDefault="00CD1993" w:rsidP="00CB5A94">
            <w:pPr>
              <w:pStyle w:val="SIBulletList2"/>
            </w:pPr>
            <w:r w:rsidRPr="00CD1993">
              <w:t>the purpose of control</w:t>
            </w:r>
          </w:p>
          <w:p w14:paraId="30A4A0C3" w14:textId="77777777" w:rsidR="00CD1993" w:rsidRPr="00CD1993" w:rsidRDefault="00CD1993" w:rsidP="00CB5A94">
            <w:pPr>
              <w:pStyle w:val="SIBulletList2"/>
            </w:pPr>
            <w:r w:rsidRPr="00CD1993">
              <w:t>the consequences of lack of control</w:t>
            </w:r>
          </w:p>
          <w:p w14:paraId="36B81682" w14:textId="77777777" w:rsidR="00CD1993" w:rsidRPr="00CD1993" w:rsidRDefault="00CD1993" w:rsidP="00CB5A94">
            <w:pPr>
              <w:pStyle w:val="SIBulletList2"/>
            </w:pPr>
            <w:r w:rsidRPr="00CD1993">
              <w:t>control monitoring</w:t>
            </w:r>
          </w:p>
          <w:p w14:paraId="4F443F82" w14:textId="77777777" w:rsidR="00CD1993" w:rsidRPr="00CD1993" w:rsidRDefault="00CD1993" w:rsidP="00CB5A94">
            <w:pPr>
              <w:pStyle w:val="SIBulletList1"/>
            </w:pPr>
            <w:r w:rsidRPr="00CD1993">
              <w:t>performance that is unacceptable or fails to meet specifications</w:t>
            </w:r>
          </w:p>
          <w:p w14:paraId="0845469B" w14:textId="77777777" w:rsidR="00CD1993" w:rsidRPr="00CD1993" w:rsidRDefault="00CD1993" w:rsidP="00CB5A94">
            <w:pPr>
              <w:pStyle w:val="SIBulletList1"/>
            </w:pPr>
            <w:r w:rsidRPr="00CD1993">
              <w:t>actions required in response to non-conformance</w:t>
            </w:r>
          </w:p>
          <w:p w14:paraId="64B25CC2" w14:textId="77777777" w:rsidR="00CD1993" w:rsidRPr="00CD1993" w:rsidRDefault="00CD1993" w:rsidP="00CB5A94">
            <w:pPr>
              <w:pStyle w:val="SIBulletList1"/>
            </w:pPr>
            <w:r w:rsidRPr="00CD1993">
              <w:t>workplace environmental procedures</w:t>
            </w:r>
          </w:p>
          <w:p w14:paraId="299D5E03" w14:textId="77777777" w:rsidR="00F1480E" w:rsidRPr="000754EC" w:rsidRDefault="00CD1993" w:rsidP="00CB5A94">
            <w:pPr>
              <w:pStyle w:val="SIBulletList1"/>
            </w:pPr>
            <w:r w:rsidRPr="00CD1993">
              <w:t>workplace procedures for reporting and recording information.</w:t>
            </w:r>
          </w:p>
        </w:tc>
      </w:tr>
    </w:tbl>
    <w:p w14:paraId="62E921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AB1EFDF" w14:textId="77777777" w:rsidTr="00CA2922">
        <w:trPr>
          <w:tblHeader/>
        </w:trPr>
        <w:tc>
          <w:tcPr>
            <w:tcW w:w="5000" w:type="pct"/>
            <w:shd w:val="clear" w:color="auto" w:fill="auto"/>
          </w:tcPr>
          <w:p w14:paraId="24AA0C98" w14:textId="77777777" w:rsidR="00F1480E" w:rsidRPr="000754EC" w:rsidRDefault="00D71E43" w:rsidP="000754EC">
            <w:pPr>
              <w:pStyle w:val="SIHeading2"/>
            </w:pPr>
            <w:r w:rsidRPr="002C55E9">
              <w:t>A</w:t>
            </w:r>
            <w:r w:rsidRPr="000754EC">
              <w:t>ssessment Conditions</w:t>
            </w:r>
          </w:p>
        </w:tc>
      </w:tr>
      <w:tr w:rsidR="00F1480E" w:rsidRPr="00A55106" w14:paraId="54E88FA6" w14:textId="77777777" w:rsidTr="00CA2922">
        <w:tc>
          <w:tcPr>
            <w:tcW w:w="5000" w:type="pct"/>
            <w:shd w:val="clear" w:color="auto" w:fill="auto"/>
          </w:tcPr>
          <w:p w14:paraId="074C10E3" w14:textId="058185E9" w:rsidR="00095EF7" w:rsidRPr="00D93C63" w:rsidRDefault="00095EF7" w:rsidP="00095EF7">
            <w:r w:rsidRPr="00D93C63">
              <w:t xml:space="preserve">Assessment of skills </w:t>
            </w:r>
            <w:r w:rsidR="006944AC" w:rsidRPr="006944AC">
              <w:t xml:space="preserve">in this unit of competency </w:t>
            </w:r>
            <w:r w:rsidRPr="00D93C63">
              <w:t>must take place under the following conditions:</w:t>
            </w:r>
          </w:p>
          <w:p w14:paraId="6E38FE10" w14:textId="77777777" w:rsidR="00CB5A94" w:rsidRPr="00CB5A94" w:rsidRDefault="00CB5A94" w:rsidP="00CB5A94">
            <w:pPr>
              <w:pStyle w:val="SIBulletList1"/>
            </w:pPr>
            <w:r w:rsidRPr="00CB5A94">
              <w:t>physical conditions:</w:t>
            </w:r>
          </w:p>
          <w:p w14:paraId="1B77A7F9" w14:textId="77777777" w:rsidR="00CB5A94" w:rsidRPr="00CB5A94" w:rsidRDefault="00CB5A94" w:rsidP="00CB5A94">
            <w:pPr>
              <w:pStyle w:val="SIBulletList2"/>
            </w:pPr>
            <w:r w:rsidRPr="00CB5A94">
              <w:t>a food or beverage processing workplace or an environment that accurately represents workplace conditions</w:t>
            </w:r>
          </w:p>
          <w:p w14:paraId="5873AE2F" w14:textId="77777777" w:rsidR="00CB5A94" w:rsidRPr="00CB5A94" w:rsidRDefault="00CB5A94" w:rsidP="00CB5A94">
            <w:pPr>
              <w:pStyle w:val="SIBulletList1"/>
            </w:pPr>
            <w:r w:rsidRPr="00CB5A94">
              <w:t>resources, equipment and materials:</w:t>
            </w:r>
          </w:p>
          <w:p w14:paraId="68EE19CA" w14:textId="77777777" w:rsidR="00CB5A94" w:rsidRPr="00CB5A94" w:rsidRDefault="00CB5A94" w:rsidP="00CB5A94">
            <w:pPr>
              <w:pStyle w:val="SIBulletList2"/>
            </w:pPr>
            <w:r w:rsidRPr="00CB5A94">
              <w:t xml:space="preserve">personal protective clothing and equipment </w:t>
            </w:r>
          </w:p>
          <w:p w14:paraId="1160369F" w14:textId="77777777" w:rsidR="00CB5A94" w:rsidRPr="00CB5A94" w:rsidRDefault="00CB5A94" w:rsidP="00CB5A94">
            <w:pPr>
              <w:pStyle w:val="SIBulletList2"/>
            </w:pPr>
            <w:r w:rsidRPr="00CB5A94">
              <w:t>cleaning products</w:t>
            </w:r>
          </w:p>
          <w:p w14:paraId="331C3C3E" w14:textId="77777777" w:rsidR="00CB5A94" w:rsidRPr="00CB5A94" w:rsidRDefault="00CB5A94" w:rsidP="00CB5A94">
            <w:pPr>
              <w:pStyle w:val="SIBulletList2"/>
            </w:pPr>
            <w:r w:rsidRPr="00CB5A94">
              <w:t>food processing equipment</w:t>
            </w:r>
          </w:p>
          <w:p w14:paraId="10103955" w14:textId="77777777" w:rsidR="00CD1993" w:rsidRPr="00CD1993" w:rsidRDefault="00CD1993" w:rsidP="00CD1993">
            <w:pPr>
              <w:pStyle w:val="SIBulletList1"/>
            </w:pPr>
            <w:r w:rsidRPr="00CD1993">
              <w:t>specifications:</w:t>
            </w:r>
          </w:p>
          <w:p w14:paraId="597421E8" w14:textId="77777777" w:rsidR="00CD1993" w:rsidRPr="00CD1993" w:rsidRDefault="00CD1993" w:rsidP="00CD1993">
            <w:pPr>
              <w:pStyle w:val="SIBulletList2"/>
            </w:pPr>
            <w:r w:rsidRPr="00CD1993">
              <w:t>GMP information relating to the workplace</w:t>
            </w:r>
          </w:p>
          <w:p w14:paraId="5745B72E" w14:textId="77777777" w:rsidR="00CD1993" w:rsidRPr="00CD1993" w:rsidRDefault="00CD1993" w:rsidP="00CD1993">
            <w:pPr>
              <w:pStyle w:val="SIBulletList2"/>
            </w:pPr>
            <w:r w:rsidRPr="00CD1993">
              <w:t>reporting and monitoring systems</w:t>
            </w:r>
          </w:p>
          <w:p w14:paraId="28914577" w14:textId="77777777" w:rsidR="00CD1993" w:rsidRPr="00CD1993" w:rsidRDefault="00CD1993" w:rsidP="00CD1993">
            <w:pPr>
              <w:pStyle w:val="SIBulletList2"/>
            </w:pPr>
            <w:r w:rsidRPr="00CD1993">
              <w:t>workplace instructions and procedures</w:t>
            </w:r>
          </w:p>
          <w:p w14:paraId="6822B354" w14:textId="77777777" w:rsidR="00CD1993" w:rsidRPr="00CD1993" w:rsidRDefault="00CD1993" w:rsidP="00CD1993">
            <w:pPr>
              <w:pStyle w:val="SIBulletList1"/>
            </w:pPr>
            <w:r w:rsidRPr="00CD1993">
              <w:t>relationships:</w:t>
            </w:r>
          </w:p>
          <w:p w14:paraId="16469A33" w14:textId="77777777" w:rsidR="00CD1993" w:rsidRPr="00CD1993" w:rsidRDefault="00CD1993" w:rsidP="00CD1993">
            <w:pPr>
              <w:pStyle w:val="SIBulletList2"/>
            </w:pPr>
            <w:r w:rsidRPr="00CD1993">
              <w:t>supervisor.</w:t>
            </w:r>
          </w:p>
          <w:p w14:paraId="2D965398" w14:textId="77777777" w:rsidR="0021210E" w:rsidRDefault="0021210E" w:rsidP="00CD1993">
            <w:pPr>
              <w:pStyle w:val="SIBulletList2"/>
              <w:numPr>
                <w:ilvl w:val="0"/>
                <w:numId w:val="0"/>
              </w:numPr>
            </w:pPr>
          </w:p>
          <w:p w14:paraId="7B11C97A"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46B56A9" w14:textId="77777777" w:rsidR="00F1480E" w:rsidRPr="000754EC" w:rsidRDefault="00F1480E" w:rsidP="00095EF7">
            <w:pPr>
              <w:pStyle w:val="SIBulletList2"/>
              <w:numPr>
                <w:ilvl w:val="0"/>
                <w:numId w:val="0"/>
              </w:numPr>
              <w:ind w:left="714"/>
              <w:rPr>
                <w:rFonts w:eastAsia="Calibri"/>
              </w:rPr>
            </w:pPr>
          </w:p>
        </w:tc>
      </w:tr>
    </w:tbl>
    <w:p w14:paraId="78DBAFB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ED3279A" w14:textId="77777777" w:rsidTr="00DC1BFF">
        <w:trPr>
          <w:trHeight w:val="361"/>
        </w:trPr>
        <w:tc>
          <w:tcPr>
            <w:tcW w:w="990" w:type="pct"/>
            <w:shd w:val="clear" w:color="auto" w:fill="auto"/>
          </w:tcPr>
          <w:p w14:paraId="1EEFF1B8" w14:textId="77777777" w:rsidR="00F1480E" w:rsidRPr="000754EC" w:rsidRDefault="00D71E43" w:rsidP="000754EC">
            <w:pPr>
              <w:pStyle w:val="SIHeading2"/>
            </w:pPr>
            <w:r w:rsidRPr="002C55E9">
              <w:t>L</w:t>
            </w:r>
            <w:r w:rsidRPr="000754EC">
              <w:t>inks</w:t>
            </w:r>
          </w:p>
        </w:tc>
        <w:tc>
          <w:tcPr>
            <w:tcW w:w="4010" w:type="pct"/>
            <w:shd w:val="clear" w:color="auto" w:fill="auto"/>
          </w:tcPr>
          <w:p w14:paraId="7618E034" w14:textId="77777777" w:rsidR="00DC1BFF" w:rsidRPr="000754EC" w:rsidRDefault="002970C3" w:rsidP="00DC1BFF">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DC1BFF" w:rsidRPr="000754EC">
              <w:t xml:space="preserve"> </w:t>
            </w:r>
          </w:p>
          <w:p w14:paraId="335E2C38" w14:textId="77777777" w:rsidR="00F1480E" w:rsidRPr="000754EC" w:rsidRDefault="00DC1BFF" w:rsidP="00DC1BFF">
            <w:pPr>
              <w:pStyle w:val="SIText"/>
            </w:pPr>
            <w:r w:rsidRPr="00C9141C">
              <w:t>https://vetnet.gov.au/Pages/TrainingDocs.aspx?q=78b15323-cd38-483e-aad7-1159b570a5c4</w:t>
            </w:r>
          </w:p>
        </w:tc>
      </w:tr>
    </w:tbl>
    <w:p w14:paraId="45A30ED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86EB5" w14:textId="77777777" w:rsidR="00AA4031" w:rsidRDefault="00AA4031" w:rsidP="00BF3F0A">
      <w:r>
        <w:separator/>
      </w:r>
    </w:p>
    <w:p w14:paraId="788C120F" w14:textId="77777777" w:rsidR="00AA4031" w:rsidRDefault="00AA4031"/>
  </w:endnote>
  <w:endnote w:type="continuationSeparator" w:id="0">
    <w:p w14:paraId="2C852913" w14:textId="77777777" w:rsidR="00AA4031" w:rsidRDefault="00AA4031" w:rsidP="00BF3F0A">
      <w:r>
        <w:continuationSeparator/>
      </w:r>
    </w:p>
    <w:p w14:paraId="0B858696" w14:textId="77777777" w:rsidR="00AA4031" w:rsidRDefault="00AA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721817"/>
      <w:docPartObj>
        <w:docPartGallery w:val="Page Numbers (Bottom of Page)"/>
        <w:docPartUnique/>
      </w:docPartObj>
    </w:sdtPr>
    <w:sdtEndPr/>
    <w:sdtContent>
      <w:p w14:paraId="603222F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7E734BFE"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2837445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D05FC" w14:textId="77777777" w:rsidR="00AA4031" w:rsidRDefault="00AA4031" w:rsidP="00BF3F0A">
      <w:r>
        <w:separator/>
      </w:r>
    </w:p>
    <w:p w14:paraId="240B7728" w14:textId="77777777" w:rsidR="00AA4031" w:rsidRDefault="00AA4031"/>
  </w:footnote>
  <w:footnote w:type="continuationSeparator" w:id="0">
    <w:p w14:paraId="4458B4D0" w14:textId="77777777" w:rsidR="00AA4031" w:rsidRDefault="00AA4031" w:rsidP="00BF3F0A">
      <w:r>
        <w:continuationSeparator/>
      </w:r>
    </w:p>
    <w:p w14:paraId="1A1D6343" w14:textId="77777777" w:rsidR="00AA4031" w:rsidRDefault="00AA4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FF7A1" w14:textId="0BEC5AFA" w:rsidR="009C2650" w:rsidRPr="00842759" w:rsidRDefault="00842759" w:rsidP="00842759">
    <w:r>
      <w:t>FBPOPR</w:t>
    </w:r>
    <w:r w:rsidR="00CD1993">
      <w:t>2XX1</w:t>
    </w:r>
    <w:r>
      <w:t xml:space="preserve"> </w:t>
    </w:r>
    <w:r w:rsidR="00CD1993">
      <w:t xml:space="preserve">Follow </w:t>
    </w:r>
    <w:r w:rsidR="00C91257">
      <w:t>procedures</w:t>
    </w:r>
    <w:r w:rsidR="00CD1993">
      <w:t xml:space="preserve"> to maintain</w:t>
    </w:r>
    <w:r w:rsidR="00CD1993" w:rsidRPr="00AF1BE8">
      <w:t xml:space="preserve"> </w:t>
    </w:r>
    <w:r w:rsidR="003C4750">
      <w:t>g</w:t>
    </w:r>
    <w:r w:rsidR="00CD1993" w:rsidRPr="00AF1BE8">
      <w:t xml:space="preserve">ood </w:t>
    </w:r>
    <w:r w:rsidR="003C4750">
      <w:t>m</w:t>
    </w:r>
    <w:r w:rsidR="00CD1993" w:rsidRPr="00AF1BE8">
      <w:t xml:space="preserve">anufacturing </w:t>
    </w:r>
    <w:r w:rsidR="003C4750">
      <w:t>p</w:t>
    </w:r>
    <w:r w:rsidR="00CD1993" w:rsidRPr="00AF1BE8">
      <w:t xml:space="preserve">ractice </w:t>
    </w:r>
    <w:r w:rsidR="00CD1993">
      <w:t>in food processing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5EA08D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1"/>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F7"/>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3DE7"/>
    <w:rsid w:val="00074E47"/>
    <w:rsid w:val="000754EC"/>
    <w:rsid w:val="0009093B"/>
    <w:rsid w:val="00095EF7"/>
    <w:rsid w:val="000A5441"/>
    <w:rsid w:val="000B2022"/>
    <w:rsid w:val="000C149A"/>
    <w:rsid w:val="000C224E"/>
    <w:rsid w:val="000E0A3C"/>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4750"/>
    <w:rsid w:val="003C7152"/>
    <w:rsid w:val="003D2E73"/>
    <w:rsid w:val="003E72B6"/>
    <w:rsid w:val="003E7BBE"/>
    <w:rsid w:val="004127E3"/>
    <w:rsid w:val="00425CAD"/>
    <w:rsid w:val="0043212E"/>
    <w:rsid w:val="00434366"/>
    <w:rsid w:val="00434ECE"/>
    <w:rsid w:val="00444423"/>
    <w:rsid w:val="004504B9"/>
    <w:rsid w:val="00452F3E"/>
    <w:rsid w:val="0046239A"/>
    <w:rsid w:val="004640AE"/>
    <w:rsid w:val="0046629F"/>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569"/>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44AC"/>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2B09"/>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2759"/>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E1501"/>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403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2409"/>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1257"/>
    <w:rsid w:val="00C96AF3"/>
    <w:rsid w:val="00C97CCC"/>
    <w:rsid w:val="00CA0274"/>
    <w:rsid w:val="00CB5A94"/>
    <w:rsid w:val="00CB746F"/>
    <w:rsid w:val="00CC451E"/>
    <w:rsid w:val="00CD1993"/>
    <w:rsid w:val="00CD4E9D"/>
    <w:rsid w:val="00CD4F4D"/>
    <w:rsid w:val="00CE7D19"/>
    <w:rsid w:val="00CF0CF5"/>
    <w:rsid w:val="00CF2B3E"/>
    <w:rsid w:val="00D0201F"/>
    <w:rsid w:val="00D02A6E"/>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BFF"/>
    <w:rsid w:val="00DC1D69"/>
    <w:rsid w:val="00DC5A3A"/>
    <w:rsid w:val="00DD0726"/>
    <w:rsid w:val="00DE3F9C"/>
    <w:rsid w:val="00E0233D"/>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F01F8"/>
    <w:rsid w:val="00EF40EF"/>
    <w:rsid w:val="00EF47FE"/>
    <w:rsid w:val="00F06179"/>
    <w:rsid w:val="00F069BD"/>
    <w:rsid w:val="00F1480E"/>
    <w:rsid w:val="00F1497D"/>
    <w:rsid w:val="00F16AAC"/>
    <w:rsid w:val="00F33FF2"/>
    <w:rsid w:val="00F438FC"/>
    <w:rsid w:val="00F5616F"/>
    <w:rsid w:val="00F56451"/>
    <w:rsid w:val="00F56827"/>
    <w:rsid w:val="00F62866"/>
    <w:rsid w:val="00F65EF0"/>
    <w:rsid w:val="00F71651"/>
    <w:rsid w:val="00F71A94"/>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61CD"/>
  <w15:docId w15:val="{3810AD33-5891-4938-8DC4-9397B391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095EF7"/>
    <w:pPr>
      <w:spacing w:after="120"/>
    </w:pPr>
  </w:style>
  <w:style w:type="character" w:customStyle="1" w:styleId="BodyTextChar">
    <w:name w:val="Body Text Char"/>
    <w:basedOn w:val="DefaultParagraphFont"/>
    <w:link w:val="BodyText"/>
    <w:uiPriority w:val="99"/>
    <w:semiHidden/>
    <w:rsid w:val="00095EF7"/>
    <w:rPr>
      <w:rFonts w:ascii="Arial" w:eastAsia="Times New Roman" w:hAnsi="Arial" w:cs="Times New Roman"/>
      <w:sz w:val="20"/>
      <w:lang w:eastAsia="en-AU"/>
    </w:rPr>
  </w:style>
  <w:style w:type="paragraph" w:styleId="ListBullet">
    <w:name w:val="List Bullet"/>
    <w:basedOn w:val="Normal"/>
    <w:uiPriority w:val="99"/>
    <w:semiHidden/>
    <w:unhideWhenUsed/>
    <w:locked/>
    <w:rsid w:val="00095EF7"/>
    <w:pPr>
      <w:ind w:left="360" w:hanging="360"/>
      <w:contextualSpacing/>
    </w:pPr>
  </w:style>
  <w:style w:type="paragraph" w:styleId="ListBullet2">
    <w:name w:val="List Bullet 2"/>
    <w:basedOn w:val="Normal"/>
    <w:uiPriority w:val="99"/>
    <w:semiHidden/>
    <w:unhideWhenUsed/>
    <w:locked/>
    <w:rsid w:val="00095EF7"/>
    <w:pPr>
      <w:numPr>
        <w:numId w:val="18"/>
      </w:numPr>
      <w:contextualSpacing/>
    </w:pPr>
  </w:style>
  <w:style w:type="paragraph" w:styleId="List2">
    <w:name w:val="List 2"/>
    <w:basedOn w:val="Normal"/>
    <w:uiPriority w:val="99"/>
    <w:semiHidden/>
    <w:unhideWhenUsed/>
    <w:locked/>
    <w:rsid w:val="00CD199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912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239054687">
      <w:bodyDiv w:val="1"/>
      <w:marLeft w:val="0"/>
      <w:marRight w:val="0"/>
      <w:marTop w:val="0"/>
      <w:marBottom w:val="0"/>
      <w:divBdr>
        <w:top w:val="none" w:sz="0" w:space="0" w:color="auto"/>
        <w:left w:val="none" w:sz="0" w:space="0" w:color="auto"/>
        <w:bottom w:val="none" w:sz="0" w:space="0" w:color="auto"/>
        <w:right w:val="none" w:sz="0" w:space="0" w:color="auto"/>
      </w:divBdr>
    </w:div>
    <w:div w:id="1354959018">
      <w:bodyDiv w:val="1"/>
      <w:marLeft w:val="0"/>
      <w:marRight w:val="0"/>
      <w:marTop w:val="0"/>
      <w:marBottom w:val="0"/>
      <w:divBdr>
        <w:top w:val="none" w:sz="0" w:space="0" w:color="auto"/>
        <w:left w:val="none" w:sz="0" w:space="0" w:color="auto"/>
        <w:bottom w:val="none" w:sz="0" w:space="0" w:color="auto"/>
        <w:right w:val="none" w:sz="0" w:space="0" w:color="auto"/>
      </w:divBdr>
    </w:div>
    <w:div w:id="197775313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20oldfield\Documents\Current\20A%20SI%20Food%20Processing%2020-09\Templates\TEM.SkillsImpact.UnitAndA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DBB87-07EC-4C40-8685-BED363BBCC09}">
  <ds:schemaRefs>
    <ds:schemaRef ds:uri="http://schemas.openxmlformats.org/officeDocument/2006/bibliography"/>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E435407E-052B-4E70-B3F3-31352C33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 (2)</Template>
  <TotalTime>27</TotalTime>
  <Pages>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Jenni Oldfield</cp:lastModifiedBy>
  <cp:revision>17</cp:revision>
  <cp:lastPrinted>2016-05-27T05:21:00Z</cp:lastPrinted>
  <dcterms:created xsi:type="dcterms:W3CDTF">2020-02-20T05:25:00Z</dcterms:created>
  <dcterms:modified xsi:type="dcterms:W3CDTF">2020-11-04T00:57:00Z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