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07857" w14:textId="302357F2" w:rsidR="00C251B1" w:rsidRPr="00F54B0F" w:rsidRDefault="00C251B1" w:rsidP="003F304D">
      <w:pPr>
        <w:pStyle w:val="Heading1"/>
        <w:rPr>
          <w:rFonts w:eastAsia="Times New Roman"/>
          <w:lang w:eastAsia="en-AU"/>
        </w:rPr>
      </w:pPr>
      <w:r w:rsidRPr="00F54B0F">
        <w:rPr>
          <w:rFonts w:eastAsia="Times New Roman"/>
          <w:lang w:eastAsia="en-AU"/>
        </w:rPr>
        <w:t>CVIG additions</w:t>
      </w:r>
    </w:p>
    <w:p w14:paraId="5666D43E" w14:textId="12701EF6" w:rsidR="00644F35" w:rsidRPr="00F54B0F" w:rsidRDefault="003146C3" w:rsidP="003F304D">
      <w:pPr>
        <w:pStyle w:val="Heading1"/>
        <w:rPr>
          <w:rFonts w:eastAsia="Times New Roman"/>
          <w:lang w:eastAsia="en-AU"/>
        </w:rPr>
      </w:pPr>
      <w:r w:rsidRPr="00F54B0F">
        <w:rPr>
          <w:rFonts w:eastAsia="Times New Roman"/>
          <w:lang w:eastAsia="en-AU"/>
        </w:rPr>
        <w:t>Food allergens</w:t>
      </w:r>
    </w:p>
    <w:p w14:paraId="427C2A2C" w14:textId="306AAC68" w:rsidR="00C71409" w:rsidRPr="00F54B0F" w:rsidRDefault="003146C3">
      <w:pPr>
        <w:rPr>
          <w:rFonts w:eastAsia="Times New Roman" w:cstheme="minorHAnsi"/>
          <w:color w:val="000000"/>
          <w:lang w:eastAsia="en-AU"/>
        </w:rPr>
      </w:pPr>
      <w:r w:rsidRPr="00F54B0F">
        <w:rPr>
          <w:rFonts w:eastAsia="Times New Roman" w:cstheme="minorHAnsi"/>
          <w:color w:val="000000"/>
          <w:lang w:eastAsia="en-AU"/>
        </w:rPr>
        <w:t>One of the main drivers for this current project has been the need to address allergen management in food processing</w:t>
      </w:r>
      <w:r w:rsidR="005249AD" w:rsidRPr="00F54B0F">
        <w:rPr>
          <w:rFonts w:eastAsia="Times New Roman" w:cstheme="minorHAnsi"/>
          <w:color w:val="000000"/>
          <w:lang w:eastAsia="en-AU"/>
        </w:rPr>
        <w:t xml:space="preserve">, especially given that </w:t>
      </w:r>
      <w:r w:rsidR="007F336D" w:rsidRPr="00F54B0F">
        <w:rPr>
          <w:rFonts w:eastAsia="Times New Roman" w:cstheme="minorHAnsi"/>
          <w:color w:val="000000"/>
          <w:lang w:eastAsia="en-AU"/>
        </w:rPr>
        <w:t xml:space="preserve">the data on recent </w:t>
      </w:r>
      <w:r w:rsidR="005249AD" w:rsidRPr="00F54B0F">
        <w:rPr>
          <w:rFonts w:eastAsia="Times New Roman" w:cstheme="minorHAnsi"/>
          <w:color w:val="000000"/>
          <w:lang w:eastAsia="en-AU"/>
        </w:rPr>
        <w:t xml:space="preserve">food product recalls </w:t>
      </w:r>
      <w:r w:rsidR="007F336D" w:rsidRPr="00F54B0F">
        <w:rPr>
          <w:rFonts w:eastAsia="Times New Roman" w:cstheme="minorHAnsi"/>
          <w:color w:val="000000"/>
          <w:lang w:eastAsia="en-AU"/>
        </w:rPr>
        <w:t>in Australia are predominantly allergen related (</w:t>
      </w:r>
      <w:hyperlink r:id="rId8" w:history="1">
        <w:r w:rsidR="007F336D" w:rsidRPr="00F54B0F">
          <w:rPr>
            <w:rStyle w:val="Hyperlink"/>
          </w:rPr>
          <w:t>www.foodstandards.gov.au/industry/foodrecalls</w:t>
        </w:r>
      </w:hyperlink>
      <w:r w:rsidR="007F336D" w:rsidRPr="00F54B0F">
        <w:t xml:space="preserve">). </w:t>
      </w:r>
      <w:r w:rsidRPr="00F54B0F">
        <w:rPr>
          <w:rFonts w:eastAsia="Times New Roman" w:cstheme="minorHAnsi"/>
          <w:color w:val="000000"/>
          <w:lang w:eastAsia="en-AU"/>
        </w:rPr>
        <w:t xml:space="preserve">Stakeholders have provided a consistent message to say that </w:t>
      </w:r>
      <w:r w:rsidR="00F417C2" w:rsidRPr="00F54B0F">
        <w:rPr>
          <w:rFonts w:eastAsia="Times New Roman" w:cstheme="minorHAnsi"/>
          <w:color w:val="000000"/>
          <w:lang w:eastAsia="en-AU"/>
        </w:rPr>
        <w:t>allergens need to be addressed through food safety.</w:t>
      </w:r>
      <w:r w:rsidRPr="00F54B0F">
        <w:rPr>
          <w:rFonts w:eastAsia="Times New Roman" w:cstheme="minorHAnsi"/>
          <w:color w:val="000000"/>
          <w:lang w:eastAsia="en-AU"/>
        </w:rPr>
        <w:t xml:space="preserve"> Typically, food allergen management has not been considered part of food safety</w:t>
      </w:r>
      <w:r w:rsidR="00F417C2" w:rsidRPr="00F54B0F">
        <w:rPr>
          <w:rFonts w:eastAsia="Times New Roman" w:cstheme="minorHAnsi"/>
          <w:color w:val="000000"/>
          <w:lang w:eastAsia="en-AU"/>
        </w:rPr>
        <w:t xml:space="preserve"> and there needs to be a cultural shift to ensure that allergens are included under this banner. To that end, many units of competency have had requirements around food safety updated to include allergen management. This is an important change that must be addressed in </w:t>
      </w:r>
      <w:r w:rsidR="00096CF3" w:rsidRPr="00F54B0F">
        <w:rPr>
          <w:rFonts w:eastAsia="Times New Roman" w:cstheme="minorHAnsi"/>
          <w:color w:val="000000"/>
          <w:lang w:eastAsia="en-AU"/>
        </w:rPr>
        <w:t xml:space="preserve">the training and assessment for the </w:t>
      </w:r>
      <w:r w:rsidR="00F417C2" w:rsidRPr="00F54B0F">
        <w:rPr>
          <w:rFonts w:eastAsia="Times New Roman" w:cstheme="minorHAnsi"/>
          <w:color w:val="000000"/>
          <w:lang w:eastAsia="en-AU"/>
        </w:rPr>
        <w:t>units that have been updated (see unit mapping for details).</w:t>
      </w:r>
    </w:p>
    <w:p w14:paraId="44020F3B" w14:textId="2ED790BD" w:rsidR="00F417C2" w:rsidRPr="00FD0F6F" w:rsidRDefault="00F417C2">
      <w:pPr>
        <w:rPr>
          <w:rFonts w:eastAsia="Times New Roman" w:cs="Arial"/>
          <w:color w:val="000000"/>
          <w:lang w:eastAsia="en-AU"/>
        </w:rPr>
      </w:pPr>
      <w:r w:rsidRPr="00FD0F6F">
        <w:rPr>
          <w:rFonts w:eastAsia="Times New Roman" w:cs="Arial"/>
          <w:color w:val="000000"/>
          <w:lang w:eastAsia="en-AU"/>
        </w:rPr>
        <w:t>Further to updates in current units, the following new units have been developed:</w:t>
      </w:r>
    </w:p>
    <w:p w14:paraId="1ED86E44" w14:textId="4DCC7B09" w:rsidR="00F417C2" w:rsidRPr="00FD0F6F" w:rsidRDefault="00F417C2" w:rsidP="00F417C2">
      <w:pPr>
        <w:pStyle w:val="SIBulletList1"/>
        <w:rPr>
          <w:rFonts w:cs="Arial"/>
          <w:sz w:val="22"/>
          <w:szCs w:val="22"/>
          <w:lang w:eastAsia="en-AU"/>
        </w:rPr>
      </w:pPr>
      <w:r w:rsidRPr="00FD0F6F">
        <w:rPr>
          <w:rFonts w:cs="Arial"/>
          <w:sz w:val="22"/>
          <w:szCs w:val="22"/>
          <w:lang w:eastAsia="en-AU"/>
        </w:rPr>
        <w:t>FBPFSY4XX1 Perform an allergen risk review</w:t>
      </w:r>
    </w:p>
    <w:p w14:paraId="3898D90B" w14:textId="27985FE9" w:rsidR="00F417C2" w:rsidRPr="00FD0F6F" w:rsidRDefault="00F417C2" w:rsidP="00F417C2">
      <w:pPr>
        <w:pStyle w:val="SIBulletList1"/>
        <w:rPr>
          <w:rFonts w:cs="Arial"/>
          <w:sz w:val="22"/>
          <w:szCs w:val="22"/>
          <w:lang w:eastAsia="en-AU"/>
        </w:rPr>
      </w:pPr>
      <w:r w:rsidRPr="00FD0F6F">
        <w:rPr>
          <w:rFonts w:cs="Arial"/>
          <w:sz w:val="22"/>
          <w:szCs w:val="22"/>
          <w:lang w:eastAsia="en-AU"/>
        </w:rPr>
        <w:t>FBPFSY4XX2 Provide accurate food allergen information to consumers</w:t>
      </w:r>
    </w:p>
    <w:p w14:paraId="1BA43966" w14:textId="45435DE3" w:rsidR="00F417C2" w:rsidRPr="00FD0F6F" w:rsidRDefault="00F417C2" w:rsidP="00F417C2">
      <w:pPr>
        <w:pStyle w:val="SIBulletList1"/>
        <w:rPr>
          <w:rFonts w:cs="Arial"/>
          <w:sz w:val="22"/>
          <w:szCs w:val="22"/>
          <w:lang w:eastAsia="en-AU"/>
        </w:rPr>
      </w:pPr>
      <w:r w:rsidRPr="00FD0F6F">
        <w:rPr>
          <w:rFonts w:cs="Arial"/>
          <w:sz w:val="22"/>
          <w:szCs w:val="22"/>
          <w:lang w:eastAsia="en-AU"/>
        </w:rPr>
        <w:t>FBPFSY5XX1 Develop an allergen management program</w:t>
      </w:r>
    </w:p>
    <w:p w14:paraId="4475A9ED" w14:textId="5DE768EA" w:rsidR="003F304D" w:rsidRPr="00FD0F6F" w:rsidRDefault="003F304D" w:rsidP="00F417C2">
      <w:pPr>
        <w:pStyle w:val="SIBulletList1"/>
        <w:rPr>
          <w:rFonts w:cs="Arial"/>
          <w:sz w:val="22"/>
          <w:szCs w:val="22"/>
          <w:lang w:eastAsia="en-AU"/>
        </w:rPr>
      </w:pPr>
      <w:r w:rsidRPr="00FD0F6F">
        <w:rPr>
          <w:rFonts w:cs="Arial"/>
          <w:sz w:val="22"/>
          <w:szCs w:val="22"/>
          <w:lang w:eastAsia="en-AU"/>
        </w:rPr>
        <w:t>FBPFSY5XX3 Plan to mitigate food fraud</w:t>
      </w:r>
      <w:r w:rsidR="00341697" w:rsidRPr="00FD0F6F">
        <w:rPr>
          <w:rFonts w:cs="Arial"/>
          <w:sz w:val="22"/>
          <w:szCs w:val="22"/>
          <w:lang w:eastAsia="en-AU"/>
        </w:rPr>
        <w:t>.</w:t>
      </w:r>
    </w:p>
    <w:p w14:paraId="3177B96E" w14:textId="5911839B" w:rsidR="00C71409" w:rsidRPr="00FD0F6F" w:rsidRDefault="00C71409">
      <w:pPr>
        <w:rPr>
          <w:rFonts w:eastAsia="Times New Roman" w:cs="Arial"/>
          <w:color w:val="000000"/>
          <w:lang w:eastAsia="en-AU"/>
        </w:rPr>
      </w:pPr>
    </w:p>
    <w:p w14:paraId="4C5B5AFA" w14:textId="25DB3EDB" w:rsidR="00F417C2" w:rsidRPr="00FD0F6F" w:rsidRDefault="00F417C2">
      <w:pPr>
        <w:rPr>
          <w:rFonts w:eastAsia="Times New Roman" w:cs="Arial"/>
          <w:color w:val="000000"/>
          <w:lang w:eastAsia="en-AU"/>
        </w:rPr>
      </w:pPr>
      <w:r w:rsidRPr="00FD0F6F">
        <w:rPr>
          <w:rFonts w:eastAsia="Times New Roman" w:cs="Arial"/>
          <w:color w:val="000000"/>
          <w:lang w:eastAsia="en-AU"/>
        </w:rPr>
        <w:t>These new units will be added to the elective banks of the following existing qualifications:</w:t>
      </w:r>
    </w:p>
    <w:p w14:paraId="044E2B0D" w14:textId="77777777" w:rsidR="00F417C2" w:rsidRPr="00FD0F6F" w:rsidRDefault="00F417C2" w:rsidP="00F417C2">
      <w:pPr>
        <w:pStyle w:val="SIBulletList1"/>
        <w:rPr>
          <w:rFonts w:cs="Arial"/>
          <w:sz w:val="22"/>
          <w:szCs w:val="22"/>
        </w:rPr>
      </w:pPr>
      <w:r w:rsidRPr="00FD0F6F">
        <w:rPr>
          <w:rFonts w:cs="Arial"/>
          <w:sz w:val="22"/>
          <w:szCs w:val="22"/>
        </w:rPr>
        <w:t>FBP40418 Certificate IV in Food Science and Technology</w:t>
      </w:r>
    </w:p>
    <w:p w14:paraId="45D6352A" w14:textId="42CE2465" w:rsidR="00F417C2" w:rsidRPr="00FD0F6F" w:rsidRDefault="00F417C2" w:rsidP="00F417C2">
      <w:pPr>
        <w:pStyle w:val="SIBulletList1"/>
        <w:rPr>
          <w:rFonts w:cs="Arial"/>
          <w:sz w:val="22"/>
          <w:szCs w:val="22"/>
        </w:rPr>
      </w:pPr>
      <w:r w:rsidRPr="00FD0F6F">
        <w:rPr>
          <w:rFonts w:cs="Arial"/>
          <w:sz w:val="22"/>
          <w:szCs w:val="22"/>
        </w:rPr>
        <w:t>FBP50118 Diploma of Food Science and Technology</w:t>
      </w:r>
    </w:p>
    <w:p w14:paraId="03AAB14B" w14:textId="363B785B" w:rsidR="00F417C2" w:rsidRPr="00FD0F6F" w:rsidRDefault="00F417C2" w:rsidP="00F417C2">
      <w:pPr>
        <w:pStyle w:val="SIBulletList1"/>
        <w:rPr>
          <w:rFonts w:cs="Arial"/>
          <w:sz w:val="22"/>
          <w:szCs w:val="22"/>
          <w:lang w:eastAsia="en-AU"/>
        </w:rPr>
      </w:pPr>
      <w:r w:rsidRPr="00FD0F6F">
        <w:rPr>
          <w:rFonts w:cs="Arial"/>
          <w:sz w:val="22"/>
          <w:szCs w:val="22"/>
        </w:rPr>
        <w:t>FBP40619 Certificate IV in Artisan Fermented Products</w:t>
      </w:r>
      <w:r w:rsidRPr="00FD0F6F">
        <w:rPr>
          <w:rFonts w:cs="Arial"/>
          <w:sz w:val="22"/>
          <w:szCs w:val="22"/>
          <w:lang w:eastAsia="en-AU"/>
        </w:rPr>
        <w:t xml:space="preserve"> </w:t>
      </w:r>
    </w:p>
    <w:p w14:paraId="2F5F3CEB" w14:textId="77777777" w:rsidR="00F417C2" w:rsidRPr="00FD0F6F" w:rsidRDefault="00F417C2" w:rsidP="00F417C2">
      <w:pPr>
        <w:pStyle w:val="SIBulletList1"/>
        <w:rPr>
          <w:rFonts w:cs="Arial"/>
          <w:sz w:val="22"/>
          <w:szCs w:val="22"/>
          <w:lang w:eastAsia="en-AU"/>
        </w:rPr>
      </w:pPr>
      <w:r w:rsidRPr="00FD0F6F">
        <w:rPr>
          <w:rFonts w:cs="Arial"/>
          <w:sz w:val="22"/>
          <w:szCs w:val="22"/>
        </w:rPr>
        <w:t>FBP50319 Diploma of Artisan Cheesemaking</w:t>
      </w:r>
      <w:r w:rsidRPr="00FD0F6F">
        <w:rPr>
          <w:rFonts w:cs="Arial"/>
          <w:sz w:val="22"/>
          <w:szCs w:val="22"/>
          <w:lang w:eastAsia="en-AU"/>
        </w:rPr>
        <w:t xml:space="preserve"> </w:t>
      </w:r>
    </w:p>
    <w:p w14:paraId="7956FEFE" w14:textId="020F2A8F" w:rsidR="00F417C2" w:rsidRPr="00FD0F6F" w:rsidRDefault="00F417C2" w:rsidP="00F417C2">
      <w:pPr>
        <w:pStyle w:val="SIBulletList1"/>
        <w:rPr>
          <w:rFonts w:cs="Arial"/>
          <w:sz w:val="22"/>
          <w:szCs w:val="22"/>
        </w:rPr>
      </w:pPr>
      <w:r w:rsidRPr="00FD0F6F">
        <w:rPr>
          <w:rFonts w:cs="Arial"/>
          <w:sz w:val="22"/>
          <w:szCs w:val="22"/>
          <w:lang w:eastAsia="en-AU"/>
        </w:rPr>
        <w:t>FBP50218</w:t>
      </w:r>
      <w:r w:rsidR="0097405E" w:rsidRPr="00FD0F6F">
        <w:rPr>
          <w:rFonts w:cs="Arial"/>
          <w:sz w:val="22"/>
          <w:szCs w:val="22"/>
          <w:lang w:eastAsia="en-AU"/>
        </w:rPr>
        <w:t xml:space="preserve"> </w:t>
      </w:r>
      <w:r w:rsidRPr="00FD0F6F">
        <w:rPr>
          <w:rFonts w:cs="Arial"/>
          <w:sz w:val="22"/>
          <w:szCs w:val="22"/>
        </w:rPr>
        <w:t>Diploma of Food Safety Auditing</w:t>
      </w:r>
    </w:p>
    <w:p w14:paraId="4A1D65E3" w14:textId="0E5CC3BA" w:rsidR="00F417C2" w:rsidRPr="00FD0F6F" w:rsidRDefault="0097405E" w:rsidP="00F417C2">
      <w:pPr>
        <w:rPr>
          <w:rFonts w:eastAsia="Times New Roman" w:cs="Arial"/>
          <w:color w:val="000000"/>
          <w:lang w:eastAsia="en-AU"/>
        </w:rPr>
      </w:pPr>
      <w:r w:rsidRPr="00FD0F6F">
        <w:rPr>
          <w:rFonts w:eastAsia="Times New Roman" w:cs="Arial"/>
          <w:color w:val="000000"/>
          <w:lang w:eastAsia="en-AU"/>
        </w:rPr>
        <w:br/>
      </w:r>
      <w:r w:rsidR="00F417C2" w:rsidRPr="00FD0F6F">
        <w:rPr>
          <w:rFonts w:eastAsia="Times New Roman" w:cs="Arial"/>
          <w:color w:val="000000"/>
          <w:lang w:eastAsia="en-AU"/>
        </w:rPr>
        <w:t>A new skill set has also been developed to manage food allergens:</w:t>
      </w:r>
    </w:p>
    <w:p w14:paraId="76FDA2A1" w14:textId="634DC049" w:rsidR="003F304D" w:rsidRPr="00FD0F6F" w:rsidRDefault="00F417C2" w:rsidP="007F336D">
      <w:pPr>
        <w:pStyle w:val="SIBulletList1"/>
        <w:rPr>
          <w:rFonts w:cs="Arial"/>
          <w:sz w:val="22"/>
          <w:szCs w:val="22"/>
          <w:lang w:eastAsia="en-AU"/>
        </w:rPr>
      </w:pPr>
      <w:r w:rsidRPr="00FD0F6F">
        <w:rPr>
          <w:rFonts w:cs="Arial"/>
          <w:sz w:val="22"/>
          <w:szCs w:val="22"/>
          <w:lang w:eastAsia="en-AU"/>
        </w:rPr>
        <w:t>FBPSSXXXX01 Manage allergens in food processing</w:t>
      </w:r>
      <w:r w:rsidR="003F304D" w:rsidRPr="00FD0F6F">
        <w:rPr>
          <w:rFonts w:cs="Arial"/>
          <w:sz w:val="22"/>
          <w:szCs w:val="22"/>
          <w:lang w:eastAsia="en-AU"/>
        </w:rPr>
        <w:t>.</w:t>
      </w:r>
    </w:p>
    <w:p w14:paraId="484AAE36" w14:textId="77777777" w:rsidR="00F05EBF" w:rsidRPr="00F54B0F" w:rsidRDefault="00F05EBF" w:rsidP="00F05EBF">
      <w:pPr>
        <w:pStyle w:val="Heading2"/>
        <w:rPr>
          <w:rFonts w:eastAsia="Times New Roman"/>
          <w:lang w:eastAsia="en-AU"/>
        </w:rPr>
      </w:pPr>
    </w:p>
    <w:p w14:paraId="10FB2D5B" w14:textId="0075F528" w:rsidR="00F05EBF" w:rsidRPr="00F54B0F" w:rsidRDefault="00F05EBF" w:rsidP="00F05EBF">
      <w:pPr>
        <w:pStyle w:val="Heading2"/>
        <w:rPr>
          <w:rFonts w:eastAsia="Times New Roman"/>
          <w:lang w:eastAsia="en-AU"/>
        </w:rPr>
      </w:pPr>
      <w:r w:rsidRPr="00F54B0F">
        <w:rPr>
          <w:rFonts w:eastAsia="Times New Roman"/>
          <w:lang w:eastAsia="en-AU"/>
        </w:rPr>
        <w:t>The language of allergens</w:t>
      </w:r>
    </w:p>
    <w:p w14:paraId="0F07BD40" w14:textId="20BBA5F3" w:rsidR="00F05EBF" w:rsidRPr="00F54B0F" w:rsidRDefault="00F05EBF" w:rsidP="00F05EBF">
      <w:r w:rsidRPr="00F54B0F">
        <w:rPr>
          <w:rFonts w:eastAsia="Times New Roman" w:cstheme="minorHAnsi"/>
          <w:color w:val="000000"/>
          <w:lang w:eastAsia="en-AU"/>
        </w:rPr>
        <w:t xml:space="preserve">It’s important to note some of the language used around food allergen management. In some contexts, allergens are treated as a ‘contaminant’, like physical, microbiological or chemical contaminants in food processing. The Allergen Bureau takes the approach that some products may be allergenic to some people and not others, and that </w:t>
      </w:r>
      <w:r w:rsidR="001D3C74" w:rsidRPr="00F54B0F">
        <w:rPr>
          <w:rFonts w:eastAsia="Times New Roman" w:cstheme="minorHAnsi"/>
          <w:color w:val="000000"/>
          <w:lang w:eastAsia="en-AU"/>
        </w:rPr>
        <w:t>often</w:t>
      </w:r>
      <w:r w:rsidRPr="00F54B0F">
        <w:rPr>
          <w:rFonts w:eastAsia="Times New Roman" w:cstheme="minorHAnsi"/>
          <w:color w:val="000000"/>
          <w:lang w:eastAsia="en-AU"/>
        </w:rPr>
        <w:t xml:space="preserve"> allergens are an intended ingredient in a processed food product. The VITAL (Voluntary Incidental Trace Allergen Labelling) Program is a standardised allergen risk assessment process for food industry, developed by the Allergen Bureau</w:t>
      </w:r>
      <w:r w:rsidRPr="00F54B0F">
        <w:rPr>
          <w:rFonts w:ascii="Helvetica" w:hAnsi="Helvetica" w:cs="Helvetica"/>
          <w:b/>
          <w:bCs/>
          <w:color w:val="000000"/>
          <w:sz w:val="21"/>
          <w:szCs w:val="21"/>
          <w:bdr w:val="none" w:sz="0" w:space="0" w:color="auto" w:frame="1"/>
          <w:shd w:val="clear" w:color="auto" w:fill="FFFFFF"/>
        </w:rPr>
        <w:t>.</w:t>
      </w:r>
    </w:p>
    <w:p w14:paraId="36F3F4C7" w14:textId="77777777" w:rsidR="00F05EBF" w:rsidRPr="00F54B0F" w:rsidRDefault="00F05EBF" w:rsidP="00F05EBF">
      <w:pPr>
        <w:ind w:left="720"/>
        <w:rPr>
          <w:rFonts w:eastAsia="Times New Roman" w:cstheme="minorHAnsi"/>
          <w:color w:val="000000"/>
          <w:lang w:eastAsia="en-AU"/>
        </w:rPr>
      </w:pPr>
      <w:r w:rsidRPr="00F54B0F">
        <w:rPr>
          <w:rStyle w:val="s1"/>
          <w:rFonts w:cstheme="minorHAnsi"/>
          <w:i/>
          <w:iCs/>
          <w:color w:val="000000"/>
          <w:sz w:val="21"/>
          <w:szCs w:val="21"/>
          <w:bdr w:val="none" w:sz="0" w:space="0" w:color="auto" w:frame="1"/>
          <w:shd w:val="clear" w:color="auto" w:fill="FFFFFF"/>
        </w:rPr>
        <w:t>The VITAL Program produces a ‘labelling outcome’ that summarises the food allergens present in a food due to intentional inclusion as part of a recipe and where food allergens, present due to cross contact, should be included (or not) on the label in the form of the precautionary statement</w:t>
      </w:r>
      <w:r w:rsidRPr="00F54B0F">
        <w:rPr>
          <w:rStyle w:val="Strong"/>
          <w:rFonts w:cstheme="minorHAnsi"/>
          <w:i/>
          <w:iCs/>
          <w:color w:val="000000"/>
          <w:sz w:val="21"/>
          <w:szCs w:val="21"/>
          <w:bdr w:val="none" w:sz="0" w:space="0" w:color="auto" w:frame="1"/>
        </w:rPr>
        <w:t> ‘May be present: allergen x, allergen y.’</w:t>
      </w:r>
      <w:r w:rsidRPr="00F54B0F">
        <w:rPr>
          <w:rFonts w:cstheme="minorHAnsi"/>
          <w:color w:val="000000"/>
          <w:sz w:val="21"/>
          <w:szCs w:val="21"/>
          <w:bdr w:val="none" w:sz="0" w:space="0" w:color="auto" w:frame="1"/>
          <w:shd w:val="clear" w:color="auto" w:fill="FFFFFF"/>
        </w:rPr>
        <w:t xml:space="preserve"> (</w:t>
      </w:r>
      <w:hyperlink r:id="rId9" w:history="1">
        <w:r w:rsidRPr="00F54B0F">
          <w:rPr>
            <w:rStyle w:val="Hyperlink"/>
            <w:rFonts w:cstheme="minorHAnsi"/>
          </w:rPr>
          <w:t>http://allergenbureau.net/vital</w:t>
        </w:r>
      </w:hyperlink>
      <w:r w:rsidRPr="00F54B0F">
        <w:rPr>
          <w:rFonts w:cstheme="minorHAnsi"/>
        </w:rPr>
        <w:t>).</w:t>
      </w:r>
    </w:p>
    <w:p w14:paraId="4802366E" w14:textId="065C6CEE" w:rsidR="00F05EBF" w:rsidRPr="00F54B0F" w:rsidRDefault="00F05EBF" w:rsidP="00F05EBF">
      <w:pPr>
        <w:rPr>
          <w:rFonts w:eastAsia="Times New Roman" w:cstheme="minorHAnsi"/>
          <w:color w:val="000000"/>
          <w:lang w:eastAsia="en-AU"/>
        </w:rPr>
      </w:pPr>
      <w:r w:rsidRPr="00F54B0F">
        <w:t>The Food Industry Guide to Allergen Management and Labelling, 2019</w:t>
      </w:r>
      <w:r w:rsidR="001D3C74" w:rsidRPr="00F54B0F">
        <w:t>, developed by the Australian Food and Grocery Council</w:t>
      </w:r>
      <w:r w:rsidRPr="00F54B0F">
        <w:t xml:space="preserve"> also explains:</w:t>
      </w:r>
    </w:p>
    <w:p w14:paraId="17EF0663" w14:textId="77777777" w:rsidR="00F05EBF" w:rsidRPr="00F54B0F" w:rsidRDefault="00F05EBF" w:rsidP="00F05EBF">
      <w:pPr>
        <w:ind w:left="720"/>
        <w:rPr>
          <w:rStyle w:val="Hyperlink"/>
          <w:rFonts w:cstheme="minorHAnsi"/>
        </w:rPr>
      </w:pPr>
      <w:r w:rsidRPr="00F54B0F">
        <w:rPr>
          <w:i/>
          <w:iCs/>
        </w:rPr>
        <w:lastRenderedPageBreak/>
        <w:t>Allergen risk review (as defined by the Allergen Bureau) is the thorough investigation of the allergen status of a food product. The investigation process identifies the presence of allergens that are intentionally formulated into a product and quantifies the risk of allergens which may be unintentionally present (cross contact allergens). This information can be used to create or update an AMP or for making allergen labelling decisions. (</w:t>
      </w:r>
      <w:hyperlink r:id="rId10" w:history="1">
        <w:r w:rsidRPr="00F54B0F">
          <w:rPr>
            <w:rStyle w:val="Hyperlink"/>
            <w:rFonts w:cstheme="minorHAnsi"/>
          </w:rPr>
          <w:t>https://www.afgc.org.au/wp-content/uploads/2019/10/FINAL-Food_Industry_Guide_to_Allergen_Management_and_Labelling_ANZ_2019_VD3.pdf</w:t>
        </w:r>
      </w:hyperlink>
      <w:r w:rsidRPr="00F54B0F">
        <w:rPr>
          <w:rStyle w:val="Hyperlink"/>
          <w:rFonts w:cstheme="minorHAnsi"/>
        </w:rPr>
        <w:t>)</w:t>
      </w:r>
    </w:p>
    <w:p w14:paraId="47D4B112" w14:textId="5E572F10" w:rsidR="00F05EBF" w:rsidRPr="00F54B0F" w:rsidRDefault="00F05EBF" w:rsidP="00F05EBF">
      <w:r w:rsidRPr="00F54B0F">
        <w:t>Both guides</w:t>
      </w:r>
      <w:r w:rsidR="001D3C74" w:rsidRPr="00F54B0F">
        <w:t xml:space="preserve"> (</w:t>
      </w:r>
      <w:r w:rsidRPr="00F54B0F">
        <w:t>the Food Industry Guide to the VITAL Program, Version 3.0 and the Food Industry Guide to Allergen Management and Labelling</w:t>
      </w:r>
      <w:r w:rsidR="001D3C74" w:rsidRPr="00F54B0F">
        <w:t>)</w:t>
      </w:r>
      <w:r w:rsidRPr="00F54B0F">
        <w:t xml:space="preserve"> note the following definition:</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044"/>
      </w:tblGrid>
      <w:tr w:rsidR="00F05EBF" w:rsidRPr="00F54B0F" w14:paraId="52717792" w14:textId="77777777" w:rsidTr="00D43264">
        <w:tc>
          <w:tcPr>
            <w:tcW w:w="2268" w:type="dxa"/>
          </w:tcPr>
          <w:p w14:paraId="4599E6B7" w14:textId="77777777" w:rsidR="00F05EBF" w:rsidRPr="00F54B0F" w:rsidRDefault="00F05EBF" w:rsidP="00D43264">
            <w:pPr>
              <w:rPr>
                <w:i/>
                <w:iCs/>
              </w:rPr>
            </w:pPr>
            <w:r w:rsidRPr="00F54B0F">
              <w:rPr>
                <w:i/>
                <w:iCs/>
              </w:rPr>
              <w:t>Cross contact allergen:</w:t>
            </w:r>
          </w:p>
        </w:tc>
        <w:tc>
          <w:tcPr>
            <w:tcW w:w="6044" w:type="dxa"/>
          </w:tcPr>
          <w:p w14:paraId="3C34D8E4" w14:textId="77777777" w:rsidR="00F05EBF" w:rsidRPr="00F54B0F" w:rsidRDefault="00F05EBF" w:rsidP="00D43264">
            <w:pPr>
              <w:rPr>
                <w:i/>
                <w:iCs/>
              </w:rPr>
            </w:pPr>
            <w:r w:rsidRPr="00F54B0F">
              <w:rPr>
                <w:rFonts w:cs="Helvetica 45 Light"/>
                <w:i/>
                <w:iCs/>
                <w:color w:val="000000"/>
              </w:rPr>
              <w:t>a residue or other trace amount of a food allergen that is unintentionally incorporated into another food. Cross contact sources can be from ingredients, raw materials, personnel, inadequate cleaning of equipment, or concurrent and/or co-located plants.</w:t>
            </w:r>
          </w:p>
        </w:tc>
      </w:tr>
    </w:tbl>
    <w:p w14:paraId="66050696" w14:textId="77777777" w:rsidR="00F05EBF" w:rsidRPr="00F54B0F" w:rsidRDefault="00F05EBF" w:rsidP="00F05EBF"/>
    <w:p w14:paraId="69DA8D91" w14:textId="5AE6DCD2" w:rsidR="00F05EBF" w:rsidRPr="00F54B0F" w:rsidRDefault="00F05EBF" w:rsidP="00F05EBF">
      <w:pPr>
        <w:rPr>
          <w:rFonts w:eastAsia="Times New Roman" w:cstheme="minorHAnsi"/>
          <w:color w:val="000000" w:themeColor="text1"/>
          <w:lang w:eastAsia="en-AU"/>
        </w:rPr>
      </w:pPr>
      <w:r w:rsidRPr="00F54B0F">
        <w:rPr>
          <w:rStyle w:val="Hyperlink"/>
          <w:rFonts w:cstheme="minorHAnsi"/>
          <w:color w:val="000000" w:themeColor="text1"/>
          <w:u w:val="none"/>
        </w:rPr>
        <w:t>Based on this information, the new and revised units of competency</w:t>
      </w:r>
      <w:r w:rsidR="002D648E" w:rsidRPr="00F54B0F">
        <w:rPr>
          <w:rStyle w:val="Hyperlink"/>
          <w:rFonts w:cstheme="minorHAnsi"/>
          <w:color w:val="000000" w:themeColor="text1"/>
          <w:u w:val="none"/>
        </w:rPr>
        <w:t xml:space="preserve"> included</w:t>
      </w:r>
      <w:r w:rsidRPr="00F54B0F">
        <w:rPr>
          <w:rStyle w:val="Hyperlink"/>
          <w:rFonts w:cstheme="minorHAnsi"/>
          <w:color w:val="000000" w:themeColor="text1"/>
          <w:u w:val="none"/>
        </w:rPr>
        <w:t xml:space="preserve"> in the </w:t>
      </w:r>
      <w:r w:rsidR="002D648E" w:rsidRPr="00F54B0F">
        <w:t>FBP Food, Beverage and Pharmaceutical Training Package, Version 5.0,</w:t>
      </w:r>
      <w:r w:rsidRPr="00F54B0F">
        <w:rPr>
          <w:rStyle w:val="Hyperlink"/>
          <w:rFonts w:cstheme="minorHAnsi"/>
          <w:color w:val="000000" w:themeColor="text1"/>
          <w:u w:val="none"/>
        </w:rPr>
        <w:t xml:space="preserve"> refer to </w:t>
      </w:r>
      <w:r w:rsidR="002D648E" w:rsidRPr="00F54B0F">
        <w:rPr>
          <w:rStyle w:val="Hyperlink"/>
          <w:rFonts w:cstheme="minorHAnsi"/>
          <w:color w:val="000000" w:themeColor="text1"/>
          <w:u w:val="none"/>
        </w:rPr>
        <w:t>‘</w:t>
      </w:r>
      <w:r w:rsidRPr="00F54B0F">
        <w:rPr>
          <w:rStyle w:val="Hyperlink"/>
          <w:rFonts w:cstheme="minorHAnsi"/>
          <w:color w:val="000000" w:themeColor="text1"/>
          <w:u w:val="none"/>
        </w:rPr>
        <w:t>cross contact allergens</w:t>
      </w:r>
      <w:r w:rsidR="002D648E" w:rsidRPr="00F54B0F">
        <w:rPr>
          <w:rStyle w:val="Hyperlink"/>
          <w:rFonts w:cstheme="minorHAnsi"/>
          <w:color w:val="000000" w:themeColor="text1"/>
          <w:u w:val="none"/>
        </w:rPr>
        <w:t>’</w:t>
      </w:r>
      <w:r w:rsidRPr="00F54B0F">
        <w:rPr>
          <w:rStyle w:val="Hyperlink"/>
          <w:rFonts w:cstheme="minorHAnsi"/>
          <w:color w:val="000000" w:themeColor="text1"/>
          <w:u w:val="none"/>
        </w:rPr>
        <w:t xml:space="preserve"> rather than allergens as </w:t>
      </w:r>
      <w:r w:rsidR="002D648E" w:rsidRPr="00F54B0F">
        <w:rPr>
          <w:rStyle w:val="Hyperlink"/>
          <w:rFonts w:cstheme="minorHAnsi"/>
          <w:color w:val="000000" w:themeColor="text1"/>
          <w:u w:val="none"/>
        </w:rPr>
        <w:t>‘</w:t>
      </w:r>
      <w:r w:rsidRPr="00F54B0F">
        <w:rPr>
          <w:rStyle w:val="Hyperlink"/>
          <w:rFonts w:cstheme="minorHAnsi"/>
          <w:color w:val="000000" w:themeColor="text1"/>
          <w:u w:val="none"/>
        </w:rPr>
        <w:t>contaminants</w:t>
      </w:r>
      <w:r w:rsidR="002D648E" w:rsidRPr="00F54B0F">
        <w:rPr>
          <w:rStyle w:val="Hyperlink"/>
          <w:rFonts w:cstheme="minorHAnsi"/>
          <w:color w:val="000000" w:themeColor="text1"/>
          <w:u w:val="none"/>
        </w:rPr>
        <w:t>’, wherever possible.</w:t>
      </w:r>
    </w:p>
    <w:p w14:paraId="494CA2B0" w14:textId="5555230F" w:rsidR="00A21598" w:rsidRPr="00F54B0F" w:rsidRDefault="00A21598" w:rsidP="00A21598">
      <w:pPr>
        <w:pStyle w:val="Heading2"/>
      </w:pPr>
      <w:r w:rsidRPr="00F54B0F">
        <w:t>Parliamentary enquiry into allergens</w:t>
      </w:r>
    </w:p>
    <w:p w14:paraId="04C82FC2" w14:textId="16A5B84F" w:rsidR="00A21598" w:rsidRPr="00F54B0F" w:rsidRDefault="00A21598" w:rsidP="00A21598">
      <w:r w:rsidRPr="00F54B0F">
        <w:t>During the project to develop units that address allergen management, the Parliamentary Inquiry into allergies and anaphylaxis. The recommendations in the final report include the following:</w:t>
      </w:r>
    </w:p>
    <w:p w14:paraId="462679EC" w14:textId="4636859F" w:rsidR="00A21598" w:rsidRPr="00F54B0F" w:rsidRDefault="00A21598" w:rsidP="00A21598">
      <w:r w:rsidRPr="00F54B0F">
        <w:rPr>
          <w:noProof/>
        </w:rPr>
        <w:drawing>
          <wp:inline distT="0" distB="0" distL="0" distR="0" wp14:anchorId="343215BE" wp14:editId="2E92864A">
            <wp:extent cx="4505325" cy="1323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505325" cy="1323975"/>
                    </a:xfrm>
                    <a:prstGeom prst="rect">
                      <a:avLst/>
                    </a:prstGeom>
                    <a:noFill/>
                    <a:ln>
                      <a:noFill/>
                    </a:ln>
                  </pic:spPr>
                </pic:pic>
              </a:graphicData>
            </a:graphic>
          </wp:inline>
        </w:drawing>
      </w:r>
    </w:p>
    <w:p w14:paraId="2ACCFE00" w14:textId="7647D015" w:rsidR="00A21598" w:rsidRPr="00F54B0F" w:rsidRDefault="00A21598" w:rsidP="00096CF3">
      <w:pPr>
        <w:pStyle w:val="Heading1"/>
        <w:rPr>
          <w:rFonts w:asciiTheme="minorHAnsi" w:eastAsiaTheme="minorHAnsi" w:hAnsiTheme="minorHAnsi" w:cstheme="minorHAnsi"/>
          <w:color w:val="auto"/>
          <w:sz w:val="22"/>
          <w:szCs w:val="22"/>
        </w:rPr>
      </w:pPr>
      <w:r w:rsidRPr="00F54B0F">
        <w:rPr>
          <w:rFonts w:asciiTheme="minorHAnsi" w:eastAsiaTheme="minorHAnsi" w:hAnsiTheme="minorHAnsi" w:cstheme="minorHAnsi"/>
          <w:color w:val="auto"/>
          <w:sz w:val="22"/>
          <w:szCs w:val="22"/>
        </w:rPr>
        <w:t xml:space="preserve">The final report from the inquiry, titled ‘Walking the allergy tightrope’, is available at </w:t>
      </w:r>
      <w:hyperlink r:id="rId13" w:history="1">
        <w:r w:rsidRPr="00F54B0F">
          <w:rPr>
            <w:rStyle w:val="Hyperlink"/>
            <w:rFonts w:asciiTheme="minorHAnsi" w:hAnsiTheme="minorHAnsi" w:cstheme="minorHAnsi"/>
            <w:sz w:val="22"/>
            <w:szCs w:val="22"/>
          </w:rPr>
          <w:t>https://www.aph.gov.au/Parliamentary_Business/Committees/House/Health_Aged_Care_and_Sport/Allergiesandanaphylaxis/Report</w:t>
        </w:r>
      </w:hyperlink>
      <w:r w:rsidRPr="00F54B0F">
        <w:rPr>
          <w:rFonts w:asciiTheme="minorHAnsi" w:eastAsiaTheme="minorHAnsi" w:hAnsiTheme="minorHAnsi" w:cstheme="minorHAnsi"/>
          <w:color w:val="000000"/>
          <w:sz w:val="21"/>
          <w:szCs w:val="21"/>
          <w:bdr w:val="none" w:sz="0" w:space="0" w:color="auto" w:frame="1"/>
          <w:shd w:val="clear" w:color="auto" w:fill="FFFFFF"/>
        </w:rPr>
        <w:t xml:space="preserve">. </w:t>
      </w:r>
    </w:p>
    <w:p w14:paraId="63E3A58B" w14:textId="0ABDB4C7" w:rsidR="00096CF3" w:rsidRPr="00F54B0F" w:rsidRDefault="00096CF3" w:rsidP="00096CF3">
      <w:pPr>
        <w:pStyle w:val="Heading1"/>
      </w:pPr>
      <w:r w:rsidRPr="00F54B0F">
        <w:t>Traceability</w:t>
      </w:r>
    </w:p>
    <w:p w14:paraId="1089558F" w14:textId="25680D51" w:rsidR="00096CF3" w:rsidRPr="00F54B0F" w:rsidRDefault="00096CF3">
      <w:pPr>
        <w:rPr>
          <w:rFonts w:cstheme="minorHAnsi"/>
        </w:rPr>
      </w:pPr>
      <w:r w:rsidRPr="00F54B0F">
        <w:rPr>
          <w:rFonts w:cstheme="minorHAnsi"/>
        </w:rPr>
        <w:t xml:space="preserve">Another driver for this current project has been to address the issue of traceability. This </w:t>
      </w:r>
      <w:r w:rsidR="007F336D" w:rsidRPr="00F54B0F">
        <w:rPr>
          <w:rFonts w:cstheme="minorHAnsi"/>
        </w:rPr>
        <w:t>driver also relates to high number of food recalls and the need for workers to understand how traceability systems are incorporated into operational food processing roles. To that end, the following units of competency have been developed within this project:</w:t>
      </w:r>
    </w:p>
    <w:p w14:paraId="23D3AB8D" w14:textId="1A2CDF1A" w:rsidR="007F336D" w:rsidRPr="00F54B0F" w:rsidRDefault="007F336D" w:rsidP="007F336D">
      <w:pPr>
        <w:pStyle w:val="SIBulletList1"/>
        <w:rPr>
          <w:rFonts w:asciiTheme="minorHAnsi" w:hAnsiTheme="minorHAnsi" w:cstheme="minorHAnsi"/>
          <w:sz w:val="22"/>
          <w:szCs w:val="22"/>
        </w:rPr>
      </w:pPr>
      <w:r w:rsidRPr="00F54B0F">
        <w:rPr>
          <w:rFonts w:asciiTheme="minorHAnsi" w:hAnsiTheme="minorHAnsi" w:cstheme="minorHAnsi"/>
          <w:sz w:val="22"/>
          <w:szCs w:val="22"/>
        </w:rPr>
        <w:t>FBPFSY3XX2 Participate in traceability activities (included in the core of the FBP30120 Certificate III in Food Processing)</w:t>
      </w:r>
    </w:p>
    <w:p w14:paraId="37512236" w14:textId="41C5ED0D" w:rsidR="007F336D" w:rsidRPr="00F54B0F" w:rsidRDefault="007F336D" w:rsidP="007F336D">
      <w:pPr>
        <w:pStyle w:val="SIBulletList1"/>
        <w:rPr>
          <w:rFonts w:asciiTheme="minorHAnsi" w:hAnsiTheme="minorHAnsi" w:cstheme="minorHAnsi"/>
          <w:sz w:val="22"/>
          <w:szCs w:val="22"/>
        </w:rPr>
      </w:pPr>
      <w:r w:rsidRPr="00F54B0F">
        <w:rPr>
          <w:rFonts w:asciiTheme="minorHAnsi" w:hAnsiTheme="minorHAnsi" w:cstheme="minorHAnsi"/>
          <w:sz w:val="22"/>
          <w:szCs w:val="22"/>
        </w:rPr>
        <w:t>FBPFSY4XX4 Conduct a traceability exercise</w:t>
      </w:r>
    </w:p>
    <w:p w14:paraId="09640F04" w14:textId="147FB353" w:rsidR="007F336D" w:rsidRPr="00F54B0F" w:rsidRDefault="007F336D" w:rsidP="007F336D">
      <w:pPr>
        <w:pStyle w:val="SIBulletList1"/>
        <w:rPr>
          <w:rFonts w:asciiTheme="minorHAnsi" w:hAnsiTheme="minorHAnsi" w:cstheme="minorHAnsi"/>
          <w:sz w:val="22"/>
          <w:szCs w:val="22"/>
        </w:rPr>
      </w:pPr>
      <w:r w:rsidRPr="00F54B0F">
        <w:rPr>
          <w:rFonts w:asciiTheme="minorHAnsi" w:hAnsiTheme="minorHAnsi" w:cstheme="minorHAnsi"/>
          <w:sz w:val="22"/>
          <w:szCs w:val="22"/>
        </w:rPr>
        <w:t>FBPFSY5XX2 Design a traceability system for food products</w:t>
      </w:r>
      <w:r w:rsidR="0097405E" w:rsidRPr="00F54B0F">
        <w:rPr>
          <w:rFonts w:asciiTheme="minorHAnsi" w:hAnsiTheme="minorHAnsi" w:cstheme="minorHAnsi"/>
          <w:sz w:val="22"/>
          <w:szCs w:val="22"/>
        </w:rPr>
        <w:t>.</w:t>
      </w:r>
      <w:r w:rsidRPr="00F54B0F">
        <w:rPr>
          <w:rFonts w:asciiTheme="minorHAnsi" w:hAnsiTheme="minorHAnsi" w:cstheme="minorHAnsi"/>
          <w:sz w:val="22"/>
          <w:szCs w:val="22"/>
        </w:rPr>
        <w:br/>
      </w:r>
    </w:p>
    <w:p w14:paraId="2B0E7866" w14:textId="7F7D124B" w:rsidR="0097405E" w:rsidRPr="00F54B0F" w:rsidRDefault="0097405E">
      <w:pPr>
        <w:rPr>
          <w:rFonts w:cstheme="minorHAnsi"/>
        </w:rPr>
      </w:pPr>
      <w:r w:rsidRPr="00F54B0F">
        <w:rPr>
          <w:rFonts w:cstheme="minorHAnsi"/>
        </w:rPr>
        <w:lastRenderedPageBreak/>
        <w:t>As with the allergen-focussed units, these traceability-focussed units will be added to the elective banks of the following existing qualifications:</w:t>
      </w:r>
    </w:p>
    <w:p w14:paraId="2888A4F8" w14:textId="77777777" w:rsidR="0097405E" w:rsidRPr="00F54B0F" w:rsidRDefault="0097405E" w:rsidP="0097405E">
      <w:pPr>
        <w:pStyle w:val="SIBulletList1"/>
        <w:rPr>
          <w:rFonts w:asciiTheme="minorHAnsi" w:hAnsiTheme="minorHAnsi" w:cstheme="minorHAnsi"/>
          <w:sz w:val="22"/>
          <w:szCs w:val="22"/>
        </w:rPr>
      </w:pPr>
      <w:r w:rsidRPr="00F54B0F">
        <w:rPr>
          <w:rFonts w:asciiTheme="minorHAnsi" w:hAnsiTheme="minorHAnsi" w:cstheme="minorHAnsi"/>
          <w:sz w:val="22"/>
          <w:szCs w:val="22"/>
        </w:rPr>
        <w:t>FBP40418 Certificate IV in Food Science and Technology</w:t>
      </w:r>
    </w:p>
    <w:p w14:paraId="1D2D789D" w14:textId="77777777" w:rsidR="0097405E" w:rsidRPr="00F54B0F" w:rsidRDefault="0097405E" w:rsidP="0097405E">
      <w:pPr>
        <w:pStyle w:val="SIBulletList1"/>
        <w:rPr>
          <w:rFonts w:asciiTheme="minorHAnsi" w:hAnsiTheme="minorHAnsi" w:cstheme="minorHAnsi"/>
          <w:sz w:val="22"/>
          <w:szCs w:val="22"/>
        </w:rPr>
      </w:pPr>
      <w:r w:rsidRPr="00F54B0F">
        <w:rPr>
          <w:rFonts w:asciiTheme="minorHAnsi" w:hAnsiTheme="minorHAnsi" w:cstheme="minorHAnsi"/>
          <w:sz w:val="22"/>
          <w:szCs w:val="22"/>
        </w:rPr>
        <w:t>FBP50118 Diploma of Food Science and Technology</w:t>
      </w:r>
    </w:p>
    <w:p w14:paraId="7478F38D" w14:textId="77777777" w:rsidR="0097405E" w:rsidRPr="00F54B0F" w:rsidRDefault="0097405E" w:rsidP="0097405E">
      <w:pPr>
        <w:pStyle w:val="SIBulletList1"/>
        <w:rPr>
          <w:rFonts w:asciiTheme="minorHAnsi" w:hAnsiTheme="minorHAnsi" w:cstheme="minorHAnsi"/>
          <w:sz w:val="22"/>
          <w:szCs w:val="22"/>
          <w:lang w:eastAsia="en-AU"/>
        </w:rPr>
      </w:pPr>
      <w:r w:rsidRPr="00F54B0F">
        <w:rPr>
          <w:rFonts w:asciiTheme="minorHAnsi" w:hAnsiTheme="minorHAnsi" w:cstheme="minorHAnsi"/>
          <w:sz w:val="22"/>
          <w:szCs w:val="22"/>
        </w:rPr>
        <w:t>FBP40619 Certificate IV in Artisan Fermented Products</w:t>
      </w:r>
      <w:r w:rsidRPr="00F54B0F">
        <w:rPr>
          <w:rFonts w:asciiTheme="minorHAnsi" w:hAnsiTheme="minorHAnsi" w:cstheme="minorHAnsi"/>
          <w:sz w:val="22"/>
          <w:szCs w:val="22"/>
          <w:lang w:eastAsia="en-AU"/>
        </w:rPr>
        <w:t xml:space="preserve"> </w:t>
      </w:r>
    </w:p>
    <w:p w14:paraId="5F24643A" w14:textId="77777777" w:rsidR="0097405E" w:rsidRPr="00F54B0F" w:rsidRDefault="0097405E" w:rsidP="0097405E">
      <w:pPr>
        <w:pStyle w:val="SIBulletList1"/>
        <w:rPr>
          <w:rFonts w:asciiTheme="minorHAnsi" w:hAnsiTheme="minorHAnsi" w:cstheme="minorHAnsi"/>
          <w:sz w:val="22"/>
          <w:szCs w:val="22"/>
          <w:lang w:eastAsia="en-AU"/>
        </w:rPr>
      </w:pPr>
      <w:r w:rsidRPr="00F54B0F">
        <w:rPr>
          <w:rFonts w:asciiTheme="minorHAnsi" w:hAnsiTheme="minorHAnsi" w:cstheme="minorHAnsi"/>
          <w:sz w:val="22"/>
          <w:szCs w:val="22"/>
        </w:rPr>
        <w:t>FBP50319 Diploma of Artisan Cheesemaking</w:t>
      </w:r>
      <w:r w:rsidRPr="00F54B0F">
        <w:rPr>
          <w:rFonts w:asciiTheme="minorHAnsi" w:hAnsiTheme="minorHAnsi" w:cstheme="minorHAnsi"/>
          <w:sz w:val="22"/>
          <w:szCs w:val="22"/>
          <w:lang w:eastAsia="en-AU"/>
        </w:rPr>
        <w:t xml:space="preserve"> </w:t>
      </w:r>
    </w:p>
    <w:p w14:paraId="1225F697" w14:textId="77777777" w:rsidR="0097405E" w:rsidRPr="00F54B0F" w:rsidRDefault="0097405E" w:rsidP="0097405E">
      <w:pPr>
        <w:pStyle w:val="SIBulletList1"/>
        <w:rPr>
          <w:rFonts w:asciiTheme="minorHAnsi" w:hAnsiTheme="minorHAnsi" w:cstheme="minorHAnsi"/>
          <w:sz w:val="22"/>
          <w:szCs w:val="22"/>
        </w:rPr>
      </w:pPr>
      <w:r w:rsidRPr="00F54B0F">
        <w:rPr>
          <w:rFonts w:asciiTheme="minorHAnsi" w:hAnsiTheme="minorHAnsi" w:cstheme="minorHAnsi"/>
          <w:sz w:val="22"/>
          <w:szCs w:val="22"/>
          <w:lang w:eastAsia="en-AU"/>
        </w:rPr>
        <w:t xml:space="preserve">FBP50218 </w:t>
      </w:r>
      <w:r w:rsidRPr="00F54B0F">
        <w:rPr>
          <w:rFonts w:asciiTheme="minorHAnsi" w:hAnsiTheme="minorHAnsi" w:cstheme="minorHAnsi"/>
          <w:sz w:val="22"/>
          <w:szCs w:val="22"/>
        </w:rPr>
        <w:t>Diploma of Food Safety Auditing</w:t>
      </w:r>
    </w:p>
    <w:p w14:paraId="760CF9BF" w14:textId="5571B973" w:rsidR="007F336D" w:rsidRPr="00F54B0F" w:rsidRDefault="0097405E">
      <w:pPr>
        <w:rPr>
          <w:rFonts w:cstheme="minorHAnsi"/>
        </w:rPr>
      </w:pPr>
      <w:r w:rsidRPr="00F54B0F">
        <w:rPr>
          <w:rFonts w:cstheme="minorHAnsi"/>
        </w:rPr>
        <w:br/>
      </w:r>
      <w:r w:rsidR="007F336D" w:rsidRPr="00F54B0F">
        <w:rPr>
          <w:rFonts w:cstheme="minorHAnsi"/>
        </w:rPr>
        <w:t>A skill set has also been created:</w:t>
      </w:r>
    </w:p>
    <w:p w14:paraId="3B2B863F" w14:textId="3C75F689" w:rsidR="007F336D" w:rsidRPr="00F54B0F" w:rsidRDefault="007F336D" w:rsidP="007F336D">
      <w:pPr>
        <w:pStyle w:val="SIBulletList1"/>
        <w:rPr>
          <w:rFonts w:asciiTheme="minorHAnsi" w:hAnsiTheme="minorHAnsi" w:cstheme="minorHAnsi"/>
          <w:sz w:val="22"/>
          <w:szCs w:val="22"/>
        </w:rPr>
      </w:pPr>
      <w:r w:rsidRPr="00F54B0F">
        <w:rPr>
          <w:rFonts w:asciiTheme="minorHAnsi" w:hAnsiTheme="minorHAnsi" w:cstheme="minorHAnsi"/>
          <w:sz w:val="22"/>
          <w:szCs w:val="22"/>
        </w:rPr>
        <w:t>FBPSSXXXX02 Check traceability of food products</w:t>
      </w:r>
      <w:r w:rsidR="0097405E" w:rsidRPr="00F54B0F">
        <w:rPr>
          <w:rFonts w:asciiTheme="minorHAnsi" w:hAnsiTheme="minorHAnsi" w:cstheme="minorHAnsi"/>
          <w:sz w:val="22"/>
          <w:szCs w:val="22"/>
        </w:rPr>
        <w:t>.</w:t>
      </w:r>
    </w:p>
    <w:p w14:paraId="3524628E" w14:textId="34E992FA" w:rsidR="002D648E" w:rsidRPr="00F54B0F" w:rsidRDefault="002D648E" w:rsidP="003F304D">
      <w:pPr>
        <w:pStyle w:val="Heading1"/>
      </w:pPr>
      <w:r w:rsidRPr="00F54B0F">
        <w:t>General Manufacturing Practice (GMP) units</w:t>
      </w:r>
    </w:p>
    <w:p w14:paraId="6B825E12" w14:textId="7B0DBE33" w:rsidR="000A61FC" w:rsidRPr="00F54B0F" w:rsidRDefault="002D648E" w:rsidP="002D648E">
      <w:pPr>
        <w:rPr>
          <w:rFonts w:cstheme="minorHAnsi"/>
        </w:rPr>
      </w:pPr>
      <w:r w:rsidRPr="00F54B0F">
        <w:t xml:space="preserve">The revised versions of the </w:t>
      </w:r>
      <w:r w:rsidRPr="00F54B0F">
        <w:rPr>
          <w:rFonts w:cstheme="minorHAnsi"/>
        </w:rPr>
        <w:t xml:space="preserve">FBP20X20 Certificate II in Food Processing and the FBP30120 Certificate III in Food Processing now include </w:t>
      </w:r>
      <w:r w:rsidR="001D3C74" w:rsidRPr="00F54B0F">
        <w:rPr>
          <w:rFonts w:cstheme="minorHAnsi"/>
        </w:rPr>
        <w:t xml:space="preserve">core </w:t>
      </w:r>
      <w:r w:rsidRPr="00F54B0F">
        <w:rPr>
          <w:rFonts w:cstheme="minorHAnsi"/>
        </w:rPr>
        <w:t>units that cover GMP</w:t>
      </w:r>
      <w:r w:rsidR="000A61FC" w:rsidRPr="00F54B0F">
        <w:rPr>
          <w:rFonts w:cstheme="minorHAnsi"/>
        </w:rPr>
        <w:t>:</w:t>
      </w:r>
    </w:p>
    <w:p w14:paraId="0879C1C5" w14:textId="77777777" w:rsidR="000A61FC" w:rsidRPr="00F54B0F" w:rsidRDefault="000A61FC" w:rsidP="000A61FC">
      <w:pPr>
        <w:pStyle w:val="ListParagraph"/>
        <w:numPr>
          <w:ilvl w:val="0"/>
          <w:numId w:val="6"/>
        </w:numPr>
        <w:rPr>
          <w:rFonts w:cstheme="minorHAnsi"/>
        </w:rPr>
      </w:pPr>
      <w:r w:rsidRPr="00F54B0F">
        <w:rPr>
          <w:rFonts w:cstheme="minorHAnsi"/>
        </w:rPr>
        <w:t xml:space="preserve">FBPOPR2XX1 Follow procedures to maintain Good Manufacturing Practice in food processing FBPOPR3X16 </w:t>
      </w:r>
    </w:p>
    <w:p w14:paraId="491F26A1" w14:textId="23E0F73E" w:rsidR="000A61FC" w:rsidRPr="00F54B0F" w:rsidRDefault="000A61FC" w:rsidP="000A61FC">
      <w:pPr>
        <w:pStyle w:val="ListParagraph"/>
        <w:numPr>
          <w:ilvl w:val="0"/>
          <w:numId w:val="6"/>
        </w:numPr>
        <w:rPr>
          <w:rFonts w:cstheme="minorHAnsi"/>
        </w:rPr>
      </w:pPr>
      <w:r w:rsidRPr="00F54B0F">
        <w:rPr>
          <w:rFonts w:cstheme="minorHAnsi"/>
        </w:rPr>
        <w:t>Apply Good Manufacturing Practice requirements in food processing.</w:t>
      </w:r>
    </w:p>
    <w:p w14:paraId="7FB84B85" w14:textId="594699F2" w:rsidR="002D648E" w:rsidRPr="00F54B0F" w:rsidRDefault="002D648E" w:rsidP="002D648E">
      <w:pPr>
        <w:rPr>
          <w:rFonts w:cstheme="minorHAnsi"/>
        </w:rPr>
      </w:pPr>
      <w:r w:rsidRPr="00F54B0F">
        <w:rPr>
          <w:rFonts w:cstheme="minorHAnsi"/>
        </w:rPr>
        <w:t xml:space="preserve">These units have been </w:t>
      </w:r>
      <w:r w:rsidR="000A61FC" w:rsidRPr="00F54B0F">
        <w:rPr>
          <w:rFonts w:cstheme="minorHAnsi"/>
        </w:rPr>
        <w:t xml:space="preserve">developed and </w:t>
      </w:r>
      <w:r w:rsidRPr="00F54B0F">
        <w:rPr>
          <w:rFonts w:cstheme="minorHAnsi"/>
        </w:rPr>
        <w:t xml:space="preserve">added </w:t>
      </w:r>
      <w:r w:rsidR="000A61FC" w:rsidRPr="00F54B0F">
        <w:rPr>
          <w:rFonts w:cstheme="minorHAnsi"/>
        </w:rPr>
        <w:t xml:space="preserve">to qualifications </w:t>
      </w:r>
      <w:r w:rsidRPr="00F54B0F">
        <w:rPr>
          <w:rFonts w:cstheme="minorHAnsi"/>
        </w:rPr>
        <w:t xml:space="preserve">in response to stakeholder feedback, </w:t>
      </w:r>
      <w:r w:rsidR="000A61FC" w:rsidRPr="00F54B0F">
        <w:rPr>
          <w:rFonts w:cstheme="minorHAnsi"/>
        </w:rPr>
        <w:t>highlighting</w:t>
      </w:r>
      <w:r w:rsidRPr="00F54B0F">
        <w:rPr>
          <w:rFonts w:cstheme="minorHAnsi"/>
        </w:rPr>
        <w:t xml:space="preserve"> that more and more purchasers of processed food products (e.g. supermarkets) require compliance with both GMP and HACCP quality systems. There was some discussion around the term ‘GMP’ vs ‘prerequisite programs’ and most stakeholders agreed that the term GMP was more broadly used and </w:t>
      </w:r>
      <w:r w:rsidR="000A61FC" w:rsidRPr="00F54B0F">
        <w:rPr>
          <w:rFonts w:cstheme="minorHAnsi"/>
        </w:rPr>
        <w:t xml:space="preserve">provides the appropriate focus for units of competency.  </w:t>
      </w:r>
    </w:p>
    <w:p w14:paraId="048CB6A7" w14:textId="126A60EF" w:rsidR="001D3C74" w:rsidRPr="00F54B0F" w:rsidRDefault="001D3C74" w:rsidP="002D648E">
      <w:r w:rsidRPr="00F54B0F">
        <w:rPr>
          <w:rFonts w:cstheme="minorHAnsi"/>
        </w:rPr>
        <w:t>Some stakeholders provided feedback to say that the new GMP units duplicated some content included in the food safety units. Industry representatives confirmed ???????????????TBC</w:t>
      </w:r>
    </w:p>
    <w:p w14:paraId="01B774D6" w14:textId="5F5759FF" w:rsidR="00644F35" w:rsidRPr="00F54B0F" w:rsidRDefault="009429F7" w:rsidP="003F304D">
      <w:pPr>
        <w:pStyle w:val="Heading1"/>
      </w:pPr>
      <w:r w:rsidRPr="00F54B0F">
        <w:t>Target a</w:t>
      </w:r>
      <w:r w:rsidR="00644F35" w:rsidRPr="00F54B0F">
        <w:t>udience for qualifications</w:t>
      </w:r>
    </w:p>
    <w:p w14:paraId="6B428533" w14:textId="089945E2" w:rsidR="009429F7" w:rsidRPr="00F54B0F" w:rsidRDefault="009429F7">
      <w:pPr>
        <w:rPr>
          <w:rFonts w:cstheme="minorHAnsi"/>
        </w:rPr>
      </w:pPr>
      <w:r w:rsidRPr="00F54B0F">
        <w:rPr>
          <w:rFonts w:cstheme="minorHAnsi"/>
        </w:rPr>
        <w:t>The FBP1XX20 Certificate I in Food Processing is designed for workers that are new to the food processing industry, and who will work under direct supervision.</w:t>
      </w:r>
      <w:r w:rsidR="007F336D" w:rsidRPr="00F54B0F">
        <w:rPr>
          <w:rFonts w:cstheme="minorHAnsi"/>
        </w:rPr>
        <w:t xml:space="preserve"> </w:t>
      </w:r>
    </w:p>
    <w:p w14:paraId="0CC8C66D" w14:textId="70A5DD54" w:rsidR="009429F7" w:rsidRPr="00F54B0F" w:rsidRDefault="009429F7">
      <w:pPr>
        <w:rPr>
          <w:rFonts w:cstheme="minorHAnsi"/>
        </w:rPr>
      </w:pPr>
      <w:r w:rsidRPr="00F54B0F">
        <w:rPr>
          <w:rFonts w:cstheme="minorHAnsi"/>
        </w:rPr>
        <w:t>The FBP20X20 Certificate II in Food Processing is targeted at those who work in food or beverage processing carrying out operational type tasks under general supervision.</w:t>
      </w:r>
    </w:p>
    <w:p w14:paraId="7431D39A" w14:textId="236FB94B" w:rsidR="007561DC" w:rsidRPr="00F54B0F" w:rsidRDefault="009429F7">
      <w:pPr>
        <w:rPr>
          <w:rFonts w:cstheme="minorHAnsi"/>
        </w:rPr>
      </w:pPr>
      <w:r w:rsidRPr="00F54B0F">
        <w:rPr>
          <w:rFonts w:cstheme="minorHAnsi"/>
        </w:rPr>
        <w:t xml:space="preserve">The </w:t>
      </w:r>
      <w:bookmarkStart w:id="0" w:name="_Hlk40358529"/>
      <w:r w:rsidRPr="00F54B0F">
        <w:rPr>
          <w:rFonts w:cstheme="minorHAnsi"/>
        </w:rPr>
        <w:t>FBP30120</w:t>
      </w:r>
      <w:bookmarkEnd w:id="0"/>
      <w:r w:rsidRPr="00F54B0F">
        <w:rPr>
          <w:rFonts w:cstheme="minorHAnsi"/>
        </w:rPr>
        <w:t xml:space="preserve"> Certificate III in Food Processing is targeted at those who work in operational roles in larger food processing site, where the work is mainly automated and large scale. This does not preclude the qualification being delivered to those who work in smaller, more </w:t>
      </w:r>
      <w:r w:rsidR="007561DC" w:rsidRPr="00F54B0F">
        <w:rPr>
          <w:rFonts w:cstheme="minorHAnsi"/>
        </w:rPr>
        <w:t>artisanal settings, providing the selection of units suits the client need and can be assessed in appropriate setting, as specified in the Assessment Conditions of each unit.</w:t>
      </w:r>
    </w:p>
    <w:p w14:paraId="71E35CE8" w14:textId="77777777" w:rsidR="003F304D" w:rsidRPr="00F54B0F" w:rsidRDefault="003F304D" w:rsidP="003F304D">
      <w:pPr>
        <w:pStyle w:val="Heading1"/>
        <w:rPr>
          <w:rFonts w:eastAsiaTheme="minorHAnsi"/>
        </w:rPr>
      </w:pPr>
      <w:r w:rsidRPr="00F54B0F">
        <w:rPr>
          <w:rFonts w:eastAsiaTheme="minorHAnsi"/>
        </w:rPr>
        <w:t>Transitioning delivery</w:t>
      </w:r>
    </w:p>
    <w:p w14:paraId="4F1B3F8D" w14:textId="722D2775" w:rsidR="007F4B77" w:rsidRPr="00F54B0F" w:rsidRDefault="003F304D">
      <w:pPr>
        <w:rPr>
          <w:rFonts w:cstheme="minorHAnsi"/>
        </w:rPr>
      </w:pPr>
      <w:r w:rsidRPr="00F54B0F">
        <w:rPr>
          <w:rFonts w:cstheme="minorHAnsi"/>
        </w:rPr>
        <w:t xml:space="preserve">Several units that were coded at AQF2 have been updated to reflect AQF3. All units that have undergone this change are deemed as equivalent to the previous version. This may impact on learners that are currently enrolled in the previous version of the qualification (FBP20117 Certificate II in Food Processing). If learners are not scheduled to complete training and assessment for the previous qualification before the transition date (12 months after endorsement), then RTOs will need to utilise the mapping information and identify </w:t>
      </w:r>
      <w:r w:rsidRPr="00F54B0F">
        <w:rPr>
          <w:rFonts w:cstheme="minorHAnsi"/>
        </w:rPr>
        <w:lastRenderedPageBreak/>
        <w:t>whether learners will be transitioned into the FBP20120 Certificate II in Food Processing or the FBP30120 Certificate III in Food Processing, depending on which units have been selected for delivery.</w:t>
      </w:r>
    </w:p>
    <w:p w14:paraId="0A6EBB1E" w14:textId="5D6A390B" w:rsidR="007561DC" w:rsidRPr="00F54B0F" w:rsidRDefault="007F4B77" w:rsidP="003F304D">
      <w:pPr>
        <w:pStyle w:val="Heading1"/>
      </w:pPr>
      <w:r w:rsidRPr="00F54B0F">
        <w:t>‘Batches’ for a</w:t>
      </w:r>
      <w:r w:rsidR="007561DC" w:rsidRPr="00F54B0F">
        <w:t>ssessment</w:t>
      </w:r>
    </w:p>
    <w:p w14:paraId="0CE8DC88" w14:textId="11F10E8F" w:rsidR="007561DC" w:rsidRPr="00F54B0F" w:rsidRDefault="007561DC">
      <w:pPr>
        <w:rPr>
          <w:rFonts w:cstheme="minorHAnsi"/>
        </w:rPr>
      </w:pPr>
      <w:r w:rsidRPr="00F54B0F">
        <w:rPr>
          <w:rFonts w:cstheme="minorHAnsi"/>
        </w:rPr>
        <w:t xml:space="preserve">The Assessment Requirements of many processing-based units of competency require the candidate to “…produce at least one batch of [product] to meet specifications”. The size of a batch, or the length of time taken to produce one batch will vary enormously for different products over different contexts. Some batches are small and produced in a few hours, others run over several days. The point of the requirements is for candidates to </w:t>
      </w:r>
      <w:r w:rsidR="00CD02B3" w:rsidRPr="00F54B0F">
        <w:rPr>
          <w:rFonts w:cstheme="minorHAnsi"/>
        </w:rPr>
        <w:t>be assessed operating</w:t>
      </w:r>
      <w:r w:rsidRPr="00F54B0F">
        <w:rPr>
          <w:rFonts w:cstheme="minorHAnsi"/>
        </w:rPr>
        <w:t xml:space="preserve"> processing equipment for long enough to be able to cover all the elements and performance criteria in the units, to resolve problems as they arise, and to produce a </w:t>
      </w:r>
      <w:r w:rsidR="007F4B77" w:rsidRPr="00F54B0F">
        <w:rPr>
          <w:rFonts w:cstheme="minorHAnsi"/>
        </w:rPr>
        <w:t>‘</w:t>
      </w:r>
      <w:r w:rsidRPr="00F54B0F">
        <w:rPr>
          <w:rFonts w:cstheme="minorHAnsi"/>
        </w:rPr>
        <w:t>reasonable amount</w:t>
      </w:r>
      <w:r w:rsidR="007F4B77" w:rsidRPr="00F54B0F">
        <w:rPr>
          <w:rFonts w:cstheme="minorHAnsi"/>
        </w:rPr>
        <w:t>’</w:t>
      </w:r>
      <w:r w:rsidRPr="00F54B0F">
        <w:rPr>
          <w:rFonts w:cstheme="minorHAnsi"/>
        </w:rPr>
        <w:t xml:space="preserve"> of product to ensure that it consistently meets the product specification.</w:t>
      </w:r>
      <w:r w:rsidR="007F4B77" w:rsidRPr="00F54B0F">
        <w:rPr>
          <w:rFonts w:cstheme="minorHAnsi"/>
        </w:rPr>
        <w:t xml:space="preserve"> How much is a ‘reasonable amount’ will sometimes need to be determined by assessors, where a batch run covers several days.</w:t>
      </w:r>
    </w:p>
    <w:p w14:paraId="6186673F" w14:textId="1071A835" w:rsidR="007561DC" w:rsidRPr="00F54B0F" w:rsidRDefault="007561DC">
      <w:pPr>
        <w:rPr>
          <w:rFonts w:cstheme="minorHAnsi"/>
        </w:rPr>
      </w:pPr>
      <w:r w:rsidRPr="00F54B0F">
        <w:rPr>
          <w:rFonts w:cstheme="minorHAnsi"/>
        </w:rPr>
        <w:t>The requirement must be more rigorous than</w:t>
      </w:r>
      <w:r w:rsidR="007F4B77" w:rsidRPr="00F54B0F">
        <w:rPr>
          <w:rFonts w:cstheme="minorHAnsi"/>
        </w:rPr>
        <w:t xml:space="preserve"> </w:t>
      </w:r>
      <w:r w:rsidRPr="00F54B0F">
        <w:rPr>
          <w:rFonts w:cstheme="minorHAnsi"/>
        </w:rPr>
        <w:t xml:space="preserve">turning equipment on for a short time and turning it off. </w:t>
      </w:r>
    </w:p>
    <w:p w14:paraId="7398339D" w14:textId="71DB9128" w:rsidR="007561DC" w:rsidRPr="00F54B0F" w:rsidRDefault="007F4B77">
      <w:pPr>
        <w:rPr>
          <w:rFonts w:cstheme="minorHAnsi"/>
        </w:rPr>
      </w:pPr>
      <w:r w:rsidRPr="00F54B0F">
        <w:rPr>
          <w:rFonts w:cstheme="minorHAnsi"/>
        </w:rPr>
        <w:t xml:space="preserve">Assessors do not need to be present to watch the production of a whole batch, but they must observe key skills identified for assessment in the </w:t>
      </w:r>
      <w:r w:rsidR="00CD02B3" w:rsidRPr="00F54B0F">
        <w:rPr>
          <w:rFonts w:cstheme="minorHAnsi"/>
        </w:rPr>
        <w:t>Performance Evidence</w:t>
      </w:r>
      <w:r w:rsidRPr="00F54B0F">
        <w:rPr>
          <w:rFonts w:cstheme="minorHAnsi"/>
        </w:rPr>
        <w:t>. Where assessors cannot observe the performance of the production of a whole batch, the assessment may be supported by third party reports provided by a workplace supervisor.</w:t>
      </w:r>
    </w:p>
    <w:p w14:paraId="40BE2D23" w14:textId="550D202D" w:rsidR="007561DC" w:rsidRPr="00F54B0F" w:rsidRDefault="007561DC" w:rsidP="003F304D">
      <w:pPr>
        <w:pStyle w:val="Heading1"/>
      </w:pPr>
      <w:r w:rsidRPr="00F54B0F">
        <w:t>Assessment Conditions</w:t>
      </w:r>
    </w:p>
    <w:p w14:paraId="46359104" w14:textId="5FF8C9BA" w:rsidR="007F4B77" w:rsidRPr="00FD0F6F" w:rsidRDefault="007F4B77" w:rsidP="007F4B77">
      <w:pPr>
        <w:pStyle w:val="SIBulletList2"/>
        <w:numPr>
          <w:ilvl w:val="0"/>
          <w:numId w:val="0"/>
        </w:numPr>
        <w:rPr>
          <w:rFonts w:eastAsiaTheme="minorHAnsi" w:cs="Arial"/>
          <w:sz w:val="22"/>
          <w:szCs w:val="22"/>
        </w:rPr>
      </w:pPr>
      <w:r w:rsidRPr="00FD0F6F">
        <w:rPr>
          <w:rFonts w:eastAsiaTheme="minorHAnsi" w:cs="Arial"/>
          <w:sz w:val="22"/>
          <w:szCs w:val="22"/>
        </w:rPr>
        <w:t xml:space="preserve">The Assessment Conditions specify that the assessment of skills must be carried out in a </w:t>
      </w:r>
      <w:r w:rsidRPr="00FD0F6F">
        <w:rPr>
          <w:rFonts w:eastAsiaTheme="minorHAnsi" w:cs="Arial"/>
          <w:i/>
          <w:iCs/>
          <w:sz w:val="22"/>
          <w:szCs w:val="22"/>
        </w:rPr>
        <w:t xml:space="preserve">‘food processing </w:t>
      </w:r>
      <w:r w:rsidR="00B30788" w:rsidRPr="00FD0F6F">
        <w:rPr>
          <w:rFonts w:eastAsiaTheme="minorHAnsi" w:cs="Arial"/>
          <w:i/>
          <w:iCs/>
          <w:sz w:val="22"/>
          <w:szCs w:val="22"/>
        </w:rPr>
        <w:t xml:space="preserve">[or other specific] </w:t>
      </w:r>
      <w:r w:rsidRPr="00FD0F6F">
        <w:rPr>
          <w:rFonts w:eastAsiaTheme="minorHAnsi" w:cs="Arial"/>
          <w:i/>
          <w:iCs/>
          <w:sz w:val="22"/>
          <w:szCs w:val="22"/>
        </w:rPr>
        <w:t xml:space="preserve">workplace or an environment that accurately represents workplace </w:t>
      </w:r>
      <w:proofErr w:type="gramStart"/>
      <w:r w:rsidRPr="00FD0F6F">
        <w:rPr>
          <w:rFonts w:eastAsiaTheme="minorHAnsi" w:cs="Arial"/>
          <w:i/>
          <w:iCs/>
          <w:sz w:val="22"/>
          <w:szCs w:val="22"/>
        </w:rPr>
        <w:t>conditions</w:t>
      </w:r>
      <w:r w:rsidR="00B30788" w:rsidRPr="00FD0F6F">
        <w:rPr>
          <w:rFonts w:eastAsiaTheme="minorHAnsi" w:cs="Arial"/>
          <w:i/>
          <w:iCs/>
          <w:sz w:val="22"/>
          <w:szCs w:val="22"/>
        </w:rPr>
        <w:t>’</w:t>
      </w:r>
      <w:proofErr w:type="gramEnd"/>
      <w:r w:rsidR="00B30788" w:rsidRPr="00FD0F6F">
        <w:rPr>
          <w:rFonts w:eastAsiaTheme="minorHAnsi" w:cs="Arial"/>
          <w:i/>
          <w:iCs/>
          <w:sz w:val="22"/>
          <w:szCs w:val="22"/>
        </w:rPr>
        <w:t>.</w:t>
      </w:r>
      <w:r w:rsidR="00B30788" w:rsidRPr="00FD0F6F">
        <w:rPr>
          <w:rFonts w:eastAsiaTheme="minorHAnsi" w:cs="Arial"/>
          <w:sz w:val="22"/>
          <w:szCs w:val="22"/>
        </w:rPr>
        <w:t xml:space="preserve"> This means an environment that is an actual workplace, or an environment that replicates a workplace fitted out with real work-like processing equipment, health and safety equipment, standard operating procedures, and workplace policies and procedures. This environment is not a domestic kitchen.</w:t>
      </w:r>
    </w:p>
    <w:p w14:paraId="665FD184" w14:textId="77777777" w:rsidR="003F304D" w:rsidRPr="00FD0F6F" w:rsidRDefault="003F304D" w:rsidP="007F4B77">
      <w:pPr>
        <w:pStyle w:val="SIBulletList2"/>
        <w:numPr>
          <w:ilvl w:val="0"/>
          <w:numId w:val="0"/>
        </w:numPr>
        <w:rPr>
          <w:rFonts w:eastAsiaTheme="minorHAnsi" w:cs="Arial"/>
          <w:sz w:val="22"/>
          <w:szCs w:val="22"/>
        </w:rPr>
      </w:pPr>
    </w:p>
    <w:p w14:paraId="120165D4" w14:textId="619234F1" w:rsidR="00B30788" w:rsidRPr="00FD0F6F" w:rsidRDefault="00B30788" w:rsidP="007F4B77">
      <w:pPr>
        <w:pStyle w:val="SIBulletList2"/>
        <w:numPr>
          <w:ilvl w:val="0"/>
          <w:numId w:val="0"/>
        </w:numPr>
        <w:rPr>
          <w:rFonts w:eastAsiaTheme="minorHAnsi" w:cs="Arial"/>
          <w:sz w:val="22"/>
          <w:szCs w:val="22"/>
        </w:rPr>
      </w:pPr>
      <w:r w:rsidRPr="00FD0F6F">
        <w:rPr>
          <w:rFonts w:eastAsiaTheme="minorHAnsi" w:cs="Arial"/>
          <w:sz w:val="22"/>
          <w:szCs w:val="22"/>
        </w:rPr>
        <w:t>The information included in the Assessment Conditions field of Skills Impact Assessment Requirements, has a standard layout:</w:t>
      </w:r>
    </w:p>
    <w:p w14:paraId="4105E295" w14:textId="77777777" w:rsidR="00096CF3" w:rsidRPr="00F54B0F" w:rsidRDefault="00096CF3" w:rsidP="007F4B77">
      <w:pPr>
        <w:pStyle w:val="SIBulletList2"/>
        <w:numPr>
          <w:ilvl w:val="0"/>
          <w:numId w:val="0"/>
        </w:numPr>
        <w:rPr>
          <w:rFonts w:asciiTheme="minorHAnsi" w:eastAsia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F304D" w:rsidRPr="00F54B0F" w14:paraId="2BEA9724" w14:textId="77777777" w:rsidTr="0010584C">
        <w:tc>
          <w:tcPr>
            <w:tcW w:w="5000" w:type="pct"/>
            <w:shd w:val="clear" w:color="auto" w:fill="auto"/>
          </w:tcPr>
          <w:p w14:paraId="77C1F9F1" w14:textId="77777777" w:rsidR="003F304D" w:rsidRPr="00F54B0F" w:rsidRDefault="003F304D" w:rsidP="0010584C">
            <w:pPr>
              <w:pStyle w:val="SIText"/>
            </w:pPr>
            <w:r w:rsidRPr="00F54B0F">
              <w:t xml:space="preserve">Assessment of skills must take place under the following conditions: </w:t>
            </w:r>
          </w:p>
          <w:p w14:paraId="78E37267" w14:textId="3FE492AC" w:rsidR="003F304D" w:rsidRPr="00F54B0F" w:rsidRDefault="003F304D" w:rsidP="003F304D">
            <w:pPr>
              <w:pStyle w:val="SIBulletList1"/>
              <w:tabs>
                <w:tab w:val="num" w:pos="360"/>
              </w:tabs>
              <w:ind w:left="357" w:hanging="357"/>
            </w:pPr>
            <w:r w:rsidRPr="00F54B0F">
              <w:t>physical conditions:</w:t>
            </w:r>
          </w:p>
          <w:p w14:paraId="48A8CCE2" w14:textId="6522B409" w:rsidR="003F304D" w:rsidRPr="00F54B0F" w:rsidRDefault="003F304D" w:rsidP="0010584C">
            <w:pPr>
              <w:pStyle w:val="SIBulletList2"/>
              <w:rPr>
                <w:rFonts w:eastAsia="Calibri"/>
                <w:i/>
                <w:iCs/>
              </w:rPr>
            </w:pPr>
            <w:r w:rsidRPr="00F54B0F">
              <w:rPr>
                <w:i/>
                <w:iCs/>
              </w:rPr>
              <w:t xml:space="preserve">[e.g. a </w:t>
            </w:r>
            <w:r w:rsidR="00096CF3" w:rsidRPr="00F54B0F">
              <w:rPr>
                <w:i/>
                <w:iCs/>
              </w:rPr>
              <w:t>food processing workplace</w:t>
            </w:r>
            <w:r w:rsidRPr="00F54B0F">
              <w:rPr>
                <w:i/>
                <w:iCs/>
              </w:rPr>
              <w:t xml:space="preserve"> or an environment that accurately represents workplace conditions</w:t>
            </w:r>
            <w:r w:rsidR="00096CF3" w:rsidRPr="00F54B0F">
              <w:rPr>
                <w:i/>
                <w:iCs/>
              </w:rPr>
              <w:t>]</w:t>
            </w:r>
          </w:p>
          <w:p w14:paraId="0EC8D07F" w14:textId="0A3959D0" w:rsidR="003F304D" w:rsidRPr="00F54B0F" w:rsidRDefault="003F304D" w:rsidP="003F304D">
            <w:pPr>
              <w:pStyle w:val="SIBulletList1"/>
              <w:tabs>
                <w:tab w:val="num" w:pos="360"/>
              </w:tabs>
              <w:ind w:left="357" w:hanging="357"/>
            </w:pPr>
            <w:r w:rsidRPr="00F54B0F">
              <w:t>resources, equipment and materials:</w:t>
            </w:r>
          </w:p>
          <w:p w14:paraId="48F35C2C" w14:textId="0FCE1F7C" w:rsidR="003F304D" w:rsidRPr="00F54B0F" w:rsidRDefault="003F304D" w:rsidP="0010584C">
            <w:pPr>
              <w:pStyle w:val="SIBulletList2"/>
              <w:rPr>
                <w:rFonts w:eastAsia="Calibri"/>
                <w:i/>
                <w:iCs/>
              </w:rPr>
            </w:pPr>
            <w:r w:rsidRPr="00F54B0F">
              <w:rPr>
                <w:rFonts w:eastAsia="Calibri"/>
                <w:i/>
                <w:iCs/>
              </w:rPr>
              <w:t>[e.g. raw product]</w:t>
            </w:r>
          </w:p>
          <w:p w14:paraId="3B23DB20" w14:textId="77777777" w:rsidR="003F304D" w:rsidRPr="00F54B0F" w:rsidRDefault="003F304D" w:rsidP="0010584C">
            <w:pPr>
              <w:pStyle w:val="SIBulletList2"/>
              <w:rPr>
                <w:rFonts w:eastAsia="Calibri"/>
                <w:i/>
                <w:iCs/>
              </w:rPr>
            </w:pPr>
            <w:r w:rsidRPr="00F54B0F">
              <w:rPr>
                <w:i/>
                <w:iCs/>
              </w:rPr>
              <w:t>[e.g. use of specific tools]</w:t>
            </w:r>
          </w:p>
          <w:p w14:paraId="699A3DFA" w14:textId="77777777" w:rsidR="003F304D" w:rsidRPr="00F54B0F" w:rsidRDefault="003F304D" w:rsidP="0010584C">
            <w:pPr>
              <w:pStyle w:val="SIBulletList2"/>
              <w:rPr>
                <w:rFonts w:eastAsia="Calibri"/>
                <w:i/>
                <w:iCs/>
              </w:rPr>
            </w:pPr>
            <w:r w:rsidRPr="00F54B0F">
              <w:rPr>
                <w:i/>
                <w:iCs/>
              </w:rPr>
              <w:t>[e.g. use of specific items of personal protective equipment]</w:t>
            </w:r>
          </w:p>
          <w:p w14:paraId="5D489A7A" w14:textId="207F86D0" w:rsidR="003F304D" w:rsidRPr="00F54B0F" w:rsidRDefault="003F304D" w:rsidP="003F304D">
            <w:pPr>
              <w:pStyle w:val="SIBulletList1"/>
              <w:tabs>
                <w:tab w:val="num" w:pos="360"/>
              </w:tabs>
              <w:ind w:left="357" w:hanging="357"/>
              <w:rPr>
                <w:rFonts w:eastAsia="Calibri"/>
              </w:rPr>
            </w:pPr>
            <w:r w:rsidRPr="00F54B0F">
              <w:rPr>
                <w:rFonts w:eastAsia="Calibri"/>
              </w:rPr>
              <w:t>specifications:</w:t>
            </w:r>
          </w:p>
          <w:p w14:paraId="455B216C" w14:textId="447A38AA" w:rsidR="003F304D" w:rsidRPr="00F54B0F" w:rsidRDefault="003F304D" w:rsidP="0010584C">
            <w:pPr>
              <w:pStyle w:val="SIBulletList2"/>
              <w:rPr>
                <w:rFonts w:eastAsia="Calibri"/>
                <w:i/>
                <w:iCs/>
              </w:rPr>
            </w:pPr>
            <w:r w:rsidRPr="00F54B0F">
              <w:rPr>
                <w:rFonts w:eastAsia="Calibri"/>
                <w:i/>
                <w:iCs/>
              </w:rPr>
              <w:t>[e.g. use of specific workplace documents such as policies, procedures, processes]</w:t>
            </w:r>
          </w:p>
          <w:p w14:paraId="541E03AD" w14:textId="77777777" w:rsidR="003F304D" w:rsidRPr="00F54B0F" w:rsidRDefault="003F304D" w:rsidP="0010584C">
            <w:pPr>
              <w:pStyle w:val="SIBulletList2"/>
              <w:rPr>
                <w:rFonts w:eastAsia="Calibri"/>
                <w:i/>
                <w:iCs/>
              </w:rPr>
            </w:pPr>
            <w:r w:rsidRPr="00F54B0F">
              <w:rPr>
                <w:rFonts w:eastAsia="Calibri"/>
                <w:i/>
                <w:iCs/>
              </w:rPr>
              <w:t>[e.g. use of manufacturer’s operating instructions for specific equipment, machinery, etc.]</w:t>
            </w:r>
          </w:p>
          <w:p w14:paraId="2A431C4B" w14:textId="77777777" w:rsidR="003F304D" w:rsidRPr="00F54B0F" w:rsidRDefault="003F304D" w:rsidP="0010584C">
            <w:pPr>
              <w:pStyle w:val="SIBulletList2"/>
              <w:rPr>
                <w:rFonts w:eastAsia="Calibri"/>
                <w:i/>
                <w:iCs/>
              </w:rPr>
            </w:pPr>
            <w:r w:rsidRPr="00F54B0F">
              <w:rPr>
                <w:rFonts w:eastAsia="Calibri"/>
                <w:i/>
                <w:iCs/>
              </w:rPr>
              <w:t>[e.g. use of workplace instructions/job specifications/client briefs]</w:t>
            </w:r>
          </w:p>
          <w:p w14:paraId="210DFD67" w14:textId="47C4A160" w:rsidR="003F304D" w:rsidRPr="00F54B0F" w:rsidRDefault="003F304D" w:rsidP="003F304D">
            <w:pPr>
              <w:pStyle w:val="SIBulletList1"/>
              <w:tabs>
                <w:tab w:val="num" w:pos="360"/>
              </w:tabs>
              <w:ind w:left="357" w:hanging="357"/>
            </w:pPr>
            <w:r w:rsidRPr="00F54B0F">
              <w:t xml:space="preserve">relationships: </w:t>
            </w:r>
          </w:p>
          <w:p w14:paraId="30BF2BAA" w14:textId="77777777" w:rsidR="003F304D" w:rsidRPr="00F54B0F" w:rsidRDefault="003F304D" w:rsidP="0010584C">
            <w:pPr>
              <w:pStyle w:val="SIBulletList2"/>
              <w:rPr>
                <w:i/>
                <w:iCs/>
              </w:rPr>
            </w:pPr>
            <w:r w:rsidRPr="00F54B0F">
              <w:rPr>
                <w:i/>
                <w:iCs/>
              </w:rPr>
              <w:t>[e.g. client(s), customer(s)]</w:t>
            </w:r>
          </w:p>
          <w:p w14:paraId="30FAEB08" w14:textId="77777777" w:rsidR="003F304D" w:rsidRPr="00F54B0F" w:rsidRDefault="003F304D" w:rsidP="0010584C">
            <w:pPr>
              <w:pStyle w:val="SIBulletList2"/>
              <w:rPr>
                <w:i/>
                <w:iCs/>
              </w:rPr>
            </w:pPr>
            <w:r w:rsidRPr="00F54B0F">
              <w:rPr>
                <w:i/>
                <w:iCs/>
              </w:rPr>
              <w:t>[e.g. team member(s), supervisor(s)]</w:t>
            </w:r>
          </w:p>
          <w:p w14:paraId="25175651" w14:textId="5580C2F9" w:rsidR="003F304D" w:rsidRPr="00F54B0F" w:rsidRDefault="003F304D" w:rsidP="003F304D">
            <w:pPr>
              <w:pStyle w:val="SIBulletList1"/>
              <w:tabs>
                <w:tab w:val="num" w:pos="360"/>
              </w:tabs>
              <w:ind w:left="357" w:hanging="357"/>
            </w:pPr>
            <w:r w:rsidRPr="00F54B0F">
              <w:t>timeframes:</w:t>
            </w:r>
            <w:r w:rsidRPr="00F54B0F">
              <w:rPr>
                <w:rStyle w:val="SITemporaryText-red"/>
              </w:rPr>
              <w:t xml:space="preserve"> </w:t>
            </w:r>
          </w:p>
          <w:p w14:paraId="0B57350D" w14:textId="7F61AF62" w:rsidR="003F304D" w:rsidRPr="00F54B0F" w:rsidRDefault="003F304D" w:rsidP="0010584C">
            <w:pPr>
              <w:pStyle w:val="SIBulletList2"/>
              <w:rPr>
                <w:i/>
                <w:iCs/>
              </w:rPr>
            </w:pPr>
            <w:r w:rsidRPr="00F54B0F">
              <w:rPr>
                <w:i/>
                <w:iCs/>
              </w:rPr>
              <w:t>[e.g. according to time specified in job sheet]</w:t>
            </w:r>
            <w:r w:rsidR="00096CF3" w:rsidRPr="00F54B0F">
              <w:rPr>
                <w:i/>
                <w:iCs/>
              </w:rPr>
              <w:t>.</w:t>
            </w:r>
          </w:p>
          <w:p w14:paraId="2C7C831A" w14:textId="77777777" w:rsidR="003F304D" w:rsidRPr="00F54B0F" w:rsidRDefault="003F304D" w:rsidP="0010584C">
            <w:pPr>
              <w:pStyle w:val="SIText"/>
            </w:pPr>
          </w:p>
          <w:p w14:paraId="3FBE39A9" w14:textId="77777777" w:rsidR="003F304D" w:rsidRPr="00F54B0F" w:rsidRDefault="003F304D" w:rsidP="0010584C">
            <w:pPr>
              <w:pStyle w:val="SIText"/>
            </w:pPr>
            <w:r w:rsidRPr="00F54B0F">
              <w:lastRenderedPageBreak/>
              <w:t>Assessors of this unit must satisfy the requirements for assessors in applicable vocational education and training legislation, frameworks and/or standards.</w:t>
            </w:r>
          </w:p>
          <w:p w14:paraId="65C75A93" w14:textId="5763992D" w:rsidR="003F304D" w:rsidRPr="00F54B0F" w:rsidRDefault="003F304D" w:rsidP="00096CF3">
            <w:pPr>
              <w:pStyle w:val="SIBulletList2"/>
              <w:numPr>
                <w:ilvl w:val="0"/>
                <w:numId w:val="0"/>
              </w:numPr>
              <w:ind w:left="714"/>
              <w:rPr>
                <w:rFonts w:eastAsia="Calibri"/>
              </w:rPr>
            </w:pPr>
          </w:p>
        </w:tc>
      </w:tr>
    </w:tbl>
    <w:p w14:paraId="6026C3AC" w14:textId="4EA752D8" w:rsidR="00B30788" w:rsidRPr="00FD0F6F" w:rsidRDefault="00B30788" w:rsidP="007F4B77">
      <w:pPr>
        <w:pStyle w:val="SIBulletList2"/>
        <w:numPr>
          <w:ilvl w:val="0"/>
          <w:numId w:val="0"/>
        </w:numPr>
        <w:rPr>
          <w:rFonts w:eastAsiaTheme="minorHAnsi" w:cs="Arial"/>
          <w:sz w:val="22"/>
          <w:szCs w:val="22"/>
        </w:rPr>
      </w:pPr>
    </w:p>
    <w:p w14:paraId="0421FB58" w14:textId="1B202B2A" w:rsidR="003F304D" w:rsidRPr="00FD0F6F" w:rsidRDefault="003F304D" w:rsidP="007F4B77">
      <w:pPr>
        <w:pStyle w:val="SIBulletList2"/>
        <w:numPr>
          <w:ilvl w:val="0"/>
          <w:numId w:val="0"/>
        </w:numPr>
        <w:rPr>
          <w:rFonts w:eastAsiaTheme="minorHAnsi" w:cs="Arial"/>
          <w:sz w:val="22"/>
          <w:szCs w:val="22"/>
        </w:rPr>
      </w:pPr>
      <w:r w:rsidRPr="00FD0F6F">
        <w:rPr>
          <w:rFonts w:eastAsiaTheme="minorHAnsi" w:cs="Arial"/>
          <w:sz w:val="22"/>
          <w:szCs w:val="22"/>
        </w:rPr>
        <w:t xml:space="preserve">Through this project stakeholders have questioned the dot point that says ‘relationships’, saying that candidates do not really ‘build relationships’ with those identified under the dot point. The ‘relationships’ dot point is really intended </w:t>
      </w:r>
      <w:r w:rsidRPr="00FD0F6F">
        <w:rPr>
          <w:rFonts w:cs="Arial"/>
          <w:color w:val="000000"/>
          <w:sz w:val="22"/>
          <w:szCs w:val="22"/>
          <w:lang w:eastAsia="en-AU"/>
        </w:rPr>
        <w:t xml:space="preserve">to introduce the dot point/s below, so in </w:t>
      </w:r>
      <w:r w:rsidR="00096CF3" w:rsidRPr="00FD0F6F">
        <w:rPr>
          <w:rFonts w:cs="Arial"/>
          <w:color w:val="000000"/>
          <w:sz w:val="22"/>
          <w:szCs w:val="22"/>
          <w:lang w:eastAsia="en-AU"/>
        </w:rPr>
        <w:t xml:space="preserve">some Food Processing units, what’s </w:t>
      </w:r>
      <w:r w:rsidRPr="00FD0F6F">
        <w:rPr>
          <w:rFonts w:cs="Arial"/>
          <w:color w:val="000000"/>
          <w:sz w:val="22"/>
          <w:szCs w:val="22"/>
          <w:lang w:eastAsia="en-AU"/>
        </w:rPr>
        <w:t xml:space="preserve">required is that the candidate has interactions with </w:t>
      </w:r>
      <w:r w:rsidR="00096CF3" w:rsidRPr="00FD0F6F">
        <w:rPr>
          <w:rFonts w:cs="Arial"/>
          <w:color w:val="000000"/>
          <w:sz w:val="22"/>
          <w:szCs w:val="22"/>
          <w:lang w:eastAsia="en-AU"/>
        </w:rPr>
        <w:t>his/her supervisor or with team members</w:t>
      </w:r>
      <w:r w:rsidRPr="00FD0F6F">
        <w:rPr>
          <w:rFonts w:cs="Arial"/>
          <w:color w:val="000000"/>
          <w:sz w:val="22"/>
          <w:szCs w:val="22"/>
          <w:lang w:eastAsia="en-AU"/>
        </w:rPr>
        <w:t>.</w:t>
      </w:r>
    </w:p>
    <w:p w14:paraId="0E3F6DE8" w14:textId="21DE803F" w:rsidR="00644F35" w:rsidRDefault="00644F35"/>
    <w:p w14:paraId="2560FFE5" w14:textId="262C7423" w:rsidR="00E21183" w:rsidRDefault="00E21183"/>
    <w:sectPr w:rsidR="00E21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04027"/>
    <w:multiLevelType w:val="hybridMultilevel"/>
    <w:tmpl w:val="B74C8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 w15:restartNumberingAfterBreak="0">
    <w:nsid w:val="573E2A75"/>
    <w:multiLevelType w:val="hybridMultilevel"/>
    <w:tmpl w:val="FEC44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9D27AF2"/>
    <w:multiLevelType w:val="hybridMultilevel"/>
    <w:tmpl w:val="7780C84E"/>
    <w:lvl w:ilvl="0" w:tplc="1B108016">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35"/>
    <w:rsid w:val="00096CF3"/>
    <w:rsid w:val="000A61FC"/>
    <w:rsid w:val="001D3C74"/>
    <w:rsid w:val="002D648E"/>
    <w:rsid w:val="003146C3"/>
    <w:rsid w:val="00341697"/>
    <w:rsid w:val="003D21F7"/>
    <w:rsid w:val="003F304D"/>
    <w:rsid w:val="004E49DC"/>
    <w:rsid w:val="005249AD"/>
    <w:rsid w:val="00590A93"/>
    <w:rsid w:val="00644F35"/>
    <w:rsid w:val="006867D1"/>
    <w:rsid w:val="007561DC"/>
    <w:rsid w:val="007F336D"/>
    <w:rsid w:val="007F4B77"/>
    <w:rsid w:val="0089564B"/>
    <w:rsid w:val="009429F7"/>
    <w:rsid w:val="0097405E"/>
    <w:rsid w:val="00A21598"/>
    <w:rsid w:val="00AA7655"/>
    <w:rsid w:val="00B30788"/>
    <w:rsid w:val="00C251B1"/>
    <w:rsid w:val="00C71409"/>
    <w:rsid w:val="00CD02B3"/>
    <w:rsid w:val="00E21183"/>
    <w:rsid w:val="00F05EBF"/>
    <w:rsid w:val="00F417C2"/>
    <w:rsid w:val="00F54B0F"/>
    <w:rsid w:val="00FD0F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8FCD"/>
  <w15:chartTrackingRefBased/>
  <w15:docId w15:val="{0E3077FE-D8D9-4BA9-B9FC-492E42F9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6F"/>
    <w:rPr>
      <w:rFonts w:ascii="Arial" w:hAnsi="Arial"/>
    </w:rPr>
  </w:style>
  <w:style w:type="paragraph" w:styleId="Heading1">
    <w:name w:val="heading 1"/>
    <w:basedOn w:val="Normal"/>
    <w:next w:val="Normal"/>
    <w:link w:val="Heading1Char"/>
    <w:uiPriority w:val="9"/>
    <w:qFormat/>
    <w:rsid w:val="00FD0F6F"/>
    <w:pPr>
      <w:keepNext/>
      <w:keepLines/>
      <w:spacing w:before="240" w:after="0"/>
      <w:outlineLvl w:val="0"/>
    </w:pPr>
    <w:rPr>
      <w:rFonts w:ascii="Century Gothic" w:eastAsiaTheme="majorEastAsia" w:hAnsi="Century Gothic" w:cstheme="majorBidi"/>
      <w:color w:val="00843D"/>
      <w:sz w:val="32"/>
      <w:szCs w:val="32"/>
    </w:rPr>
  </w:style>
  <w:style w:type="paragraph" w:styleId="Heading2">
    <w:name w:val="heading 2"/>
    <w:basedOn w:val="Normal"/>
    <w:next w:val="Normal"/>
    <w:link w:val="Heading2Char"/>
    <w:uiPriority w:val="9"/>
    <w:unhideWhenUsed/>
    <w:qFormat/>
    <w:rsid w:val="00FD0F6F"/>
    <w:pPr>
      <w:keepNext/>
      <w:keepLines/>
      <w:spacing w:before="40" w:after="0"/>
      <w:outlineLvl w:val="1"/>
    </w:pPr>
    <w:rPr>
      <w:rFonts w:ascii="Century Gothic" w:eastAsiaTheme="majorEastAsia" w:hAnsi="Century Gothic" w:cstheme="majorBidi"/>
      <w:color w:val="00843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BulletList2">
    <w:name w:val="SI Bullet List 2"/>
    <w:basedOn w:val="Normal"/>
    <w:rsid w:val="007F4B77"/>
    <w:pPr>
      <w:numPr>
        <w:numId w:val="1"/>
      </w:numPr>
      <w:tabs>
        <w:tab w:val="num" w:pos="720"/>
      </w:tabs>
      <w:spacing w:after="0" w:line="240" w:lineRule="auto"/>
      <w:ind w:left="714" w:hanging="357"/>
    </w:pPr>
    <w:rPr>
      <w:rFonts w:eastAsia="Times New Roman" w:cs="Times New Roman"/>
      <w:sz w:val="20"/>
      <w:szCs w:val="20"/>
    </w:rPr>
  </w:style>
  <w:style w:type="paragraph" w:customStyle="1" w:styleId="SIBulletList1">
    <w:name w:val="SI Bullet List 1"/>
    <w:rsid w:val="00F417C2"/>
    <w:pPr>
      <w:numPr>
        <w:numId w:val="2"/>
      </w:numPr>
      <w:spacing w:after="0" w:line="240" w:lineRule="auto"/>
    </w:pPr>
    <w:rPr>
      <w:rFonts w:ascii="Arial" w:eastAsia="Times New Roman" w:hAnsi="Arial" w:cs="Times New Roman"/>
      <w:sz w:val="20"/>
      <w:szCs w:val="20"/>
    </w:rPr>
  </w:style>
  <w:style w:type="character" w:styleId="Hyperlink">
    <w:name w:val="Hyperlink"/>
    <w:basedOn w:val="DefaultParagraphFont"/>
    <w:uiPriority w:val="99"/>
    <w:unhideWhenUsed/>
    <w:rsid w:val="00F417C2"/>
    <w:rPr>
      <w:color w:val="0000FF"/>
      <w:u w:val="single"/>
    </w:rPr>
  </w:style>
  <w:style w:type="character" w:customStyle="1" w:styleId="accessibilityonly">
    <w:name w:val="accessibilityonly"/>
    <w:basedOn w:val="DefaultParagraphFont"/>
    <w:rsid w:val="00F417C2"/>
  </w:style>
  <w:style w:type="character" w:styleId="UnresolvedMention">
    <w:name w:val="Unresolved Mention"/>
    <w:basedOn w:val="DefaultParagraphFont"/>
    <w:uiPriority w:val="99"/>
    <w:semiHidden/>
    <w:unhideWhenUsed/>
    <w:rsid w:val="00F417C2"/>
    <w:rPr>
      <w:color w:val="605E5C"/>
      <w:shd w:val="clear" w:color="auto" w:fill="E1DFDD"/>
    </w:rPr>
  </w:style>
  <w:style w:type="character" w:customStyle="1" w:styleId="Heading1Char">
    <w:name w:val="Heading 1 Char"/>
    <w:basedOn w:val="DefaultParagraphFont"/>
    <w:link w:val="Heading1"/>
    <w:uiPriority w:val="9"/>
    <w:rsid w:val="00FD0F6F"/>
    <w:rPr>
      <w:rFonts w:ascii="Century Gothic" w:eastAsiaTheme="majorEastAsia" w:hAnsi="Century Gothic" w:cstheme="majorBidi"/>
      <w:color w:val="00843D"/>
      <w:sz w:val="32"/>
      <w:szCs w:val="32"/>
    </w:rPr>
  </w:style>
  <w:style w:type="paragraph" w:customStyle="1" w:styleId="SIText">
    <w:name w:val="SI Text"/>
    <w:link w:val="SITextChar"/>
    <w:qFormat/>
    <w:rsid w:val="003F304D"/>
    <w:pPr>
      <w:spacing w:after="0" w:line="240" w:lineRule="auto"/>
    </w:pPr>
    <w:rPr>
      <w:rFonts w:ascii="Arial" w:eastAsia="Times New Roman" w:hAnsi="Arial" w:cs="Times New Roman"/>
      <w:sz w:val="20"/>
    </w:rPr>
  </w:style>
  <w:style w:type="character" w:customStyle="1" w:styleId="SITextChar">
    <w:name w:val="SI Text Char"/>
    <w:basedOn w:val="DefaultParagraphFont"/>
    <w:link w:val="SIText"/>
    <w:rsid w:val="003F304D"/>
    <w:rPr>
      <w:rFonts w:ascii="Arial" w:eastAsia="Times New Roman" w:hAnsi="Arial" w:cs="Times New Roman"/>
      <w:sz w:val="20"/>
    </w:rPr>
  </w:style>
  <w:style w:type="character" w:customStyle="1" w:styleId="SITemporaryText-red">
    <w:name w:val="SI Temporary Text - red"/>
    <w:basedOn w:val="DefaultParagraphFont"/>
    <w:uiPriority w:val="1"/>
    <w:qFormat/>
    <w:rsid w:val="003F304D"/>
    <w:rPr>
      <w:rFonts w:ascii="Arial" w:hAnsi="Arial"/>
      <w:color w:val="FF0000"/>
      <w:sz w:val="22"/>
    </w:rPr>
  </w:style>
  <w:style w:type="character" w:customStyle="1" w:styleId="s1">
    <w:name w:val="s1"/>
    <w:basedOn w:val="DefaultParagraphFont"/>
    <w:rsid w:val="006867D1"/>
  </w:style>
  <w:style w:type="character" w:styleId="Strong">
    <w:name w:val="Strong"/>
    <w:basedOn w:val="DefaultParagraphFont"/>
    <w:uiPriority w:val="22"/>
    <w:qFormat/>
    <w:rsid w:val="006867D1"/>
    <w:rPr>
      <w:b/>
      <w:bCs/>
    </w:rPr>
  </w:style>
  <w:style w:type="paragraph" w:customStyle="1" w:styleId="Default">
    <w:name w:val="Default"/>
    <w:rsid w:val="00341697"/>
    <w:pPr>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Pa2">
    <w:name w:val="Pa2"/>
    <w:basedOn w:val="Default"/>
    <w:next w:val="Default"/>
    <w:uiPriority w:val="99"/>
    <w:rsid w:val="00341697"/>
    <w:pPr>
      <w:spacing w:line="201" w:lineRule="atLeast"/>
    </w:pPr>
    <w:rPr>
      <w:rFonts w:cstheme="minorBidi"/>
      <w:color w:val="auto"/>
    </w:rPr>
  </w:style>
  <w:style w:type="character" w:customStyle="1" w:styleId="Heading2Char">
    <w:name w:val="Heading 2 Char"/>
    <w:basedOn w:val="DefaultParagraphFont"/>
    <w:link w:val="Heading2"/>
    <w:uiPriority w:val="9"/>
    <w:rsid w:val="00FD0F6F"/>
    <w:rPr>
      <w:rFonts w:ascii="Century Gothic" w:eastAsiaTheme="majorEastAsia" w:hAnsi="Century Gothic" w:cstheme="majorBidi"/>
      <w:color w:val="00843D"/>
      <w:sz w:val="26"/>
      <w:szCs w:val="26"/>
    </w:rPr>
  </w:style>
  <w:style w:type="table" w:styleId="TableGrid">
    <w:name w:val="Table Grid"/>
    <w:basedOn w:val="TableNormal"/>
    <w:uiPriority w:val="39"/>
    <w:rsid w:val="00F05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6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47004">
      <w:bodyDiv w:val="1"/>
      <w:marLeft w:val="0"/>
      <w:marRight w:val="0"/>
      <w:marTop w:val="0"/>
      <w:marBottom w:val="0"/>
      <w:divBdr>
        <w:top w:val="none" w:sz="0" w:space="0" w:color="auto"/>
        <w:left w:val="none" w:sz="0" w:space="0" w:color="auto"/>
        <w:bottom w:val="none" w:sz="0" w:space="0" w:color="auto"/>
        <w:right w:val="none" w:sz="0" w:space="0" w:color="auto"/>
      </w:divBdr>
    </w:div>
    <w:div w:id="341012360">
      <w:bodyDiv w:val="1"/>
      <w:marLeft w:val="0"/>
      <w:marRight w:val="0"/>
      <w:marTop w:val="0"/>
      <w:marBottom w:val="0"/>
      <w:divBdr>
        <w:top w:val="none" w:sz="0" w:space="0" w:color="auto"/>
        <w:left w:val="none" w:sz="0" w:space="0" w:color="auto"/>
        <w:bottom w:val="none" w:sz="0" w:space="0" w:color="auto"/>
        <w:right w:val="none" w:sz="0" w:space="0" w:color="auto"/>
      </w:divBdr>
    </w:div>
    <w:div w:id="539513566">
      <w:bodyDiv w:val="1"/>
      <w:marLeft w:val="0"/>
      <w:marRight w:val="0"/>
      <w:marTop w:val="0"/>
      <w:marBottom w:val="0"/>
      <w:divBdr>
        <w:top w:val="none" w:sz="0" w:space="0" w:color="auto"/>
        <w:left w:val="none" w:sz="0" w:space="0" w:color="auto"/>
        <w:bottom w:val="none" w:sz="0" w:space="0" w:color="auto"/>
        <w:right w:val="none" w:sz="0" w:space="0" w:color="auto"/>
      </w:divBdr>
    </w:div>
    <w:div w:id="599794706">
      <w:bodyDiv w:val="1"/>
      <w:marLeft w:val="0"/>
      <w:marRight w:val="0"/>
      <w:marTop w:val="0"/>
      <w:marBottom w:val="0"/>
      <w:divBdr>
        <w:top w:val="none" w:sz="0" w:space="0" w:color="auto"/>
        <w:left w:val="none" w:sz="0" w:space="0" w:color="auto"/>
        <w:bottom w:val="none" w:sz="0" w:space="0" w:color="auto"/>
        <w:right w:val="none" w:sz="0" w:space="0" w:color="auto"/>
      </w:divBdr>
    </w:div>
    <w:div w:id="655182451">
      <w:bodyDiv w:val="1"/>
      <w:marLeft w:val="0"/>
      <w:marRight w:val="0"/>
      <w:marTop w:val="0"/>
      <w:marBottom w:val="0"/>
      <w:divBdr>
        <w:top w:val="none" w:sz="0" w:space="0" w:color="auto"/>
        <w:left w:val="none" w:sz="0" w:space="0" w:color="auto"/>
        <w:bottom w:val="none" w:sz="0" w:space="0" w:color="auto"/>
        <w:right w:val="none" w:sz="0" w:space="0" w:color="auto"/>
      </w:divBdr>
    </w:div>
    <w:div w:id="1256204548">
      <w:bodyDiv w:val="1"/>
      <w:marLeft w:val="0"/>
      <w:marRight w:val="0"/>
      <w:marTop w:val="0"/>
      <w:marBottom w:val="0"/>
      <w:divBdr>
        <w:top w:val="none" w:sz="0" w:space="0" w:color="auto"/>
        <w:left w:val="none" w:sz="0" w:space="0" w:color="auto"/>
        <w:bottom w:val="none" w:sz="0" w:space="0" w:color="auto"/>
        <w:right w:val="none" w:sz="0" w:space="0" w:color="auto"/>
      </w:divBdr>
    </w:div>
    <w:div w:id="1329942125">
      <w:bodyDiv w:val="1"/>
      <w:marLeft w:val="0"/>
      <w:marRight w:val="0"/>
      <w:marTop w:val="0"/>
      <w:marBottom w:val="0"/>
      <w:divBdr>
        <w:top w:val="none" w:sz="0" w:space="0" w:color="auto"/>
        <w:left w:val="none" w:sz="0" w:space="0" w:color="auto"/>
        <w:bottom w:val="none" w:sz="0" w:space="0" w:color="auto"/>
        <w:right w:val="none" w:sz="0" w:space="0" w:color="auto"/>
      </w:divBdr>
    </w:div>
    <w:div w:id="1412387646">
      <w:bodyDiv w:val="1"/>
      <w:marLeft w:val="0"/>
      <w:marRight w:val="0"/>
      <w:marTop w:val="0"/>
      <w:marBottom w:val="0"/>
      <w:divBdr>
        <w:top w:val="none" w:sz="0" w:space="0" w:color="auto"/>
        <w:left w:val="none" w:sz="0" w:space="0" w:color="auto"/>
        <w:bottom w:val="none" w:sz="0" w:space="0" w:color="auto"/>
        <w:right w:val="none" w:sz="0" w:space="0" w:color="auto"/>
      </w:divBdr>
    </w:div>
    <w:div w:id="1521820197">
      <w:bodyDiv w:val="1"/>
      <w:marLeft w:val="0"/>
      <w:marRight w:val="0"/>
      <w:marTop w:val="0"/>
      <w:marBottom w:val="0"/>
      <w:divBdr>
        <w:top w:val="none" w:sz="0" w:space="0" w:color="auto"/>
        <w:left w:val="none" w:sz="0" w:space="0" w:color="auto"/>
        <w:bottom w:val="none" w:sz="0" w:space="0" w:color="auto"/>
        <w:right w:val="none" w:sz="0" w:space="0" w:color="auto"/>
      </w:divBdr>
    </w:div>
    <w:div w:id="1628077788">
      <w:bodyDiv w:val="1"/>
      <w:marLeft w:val="0"/>
      <w:marRight w:val="0"/>
      <w:marTop w:val="0"/>
      <w:marBottom w:val="0"/>
      <w:divBdr>
        <w:top w:val="none" w:sz="0" w:space="0" w:color="auto"/>
        <w:left w:val="none" w:sz="0" w:space="0" w:color="auto"/>
        <w:bottom w:val="none" w:sz="0" w:space="0" w:color="auto"/>
        <w:right w:val="none" w:sz="0" w:space="0" w:color="auto"/>
      </w:divBdr>
    </w:div>
    <w:div w:id="1628584580">
      <w:bodyDiv w:val="1"/>
      <w:marLeft w:val="0"/>
      <w:marRight w:val="0"/>
      <w:marTop w:val="0"/>
      <w:marBottom w:val="0"/>
      <w:divBdr>
        <w:top w:val="none" w:sz="0" w:space="0" w:color="auto"/>
        <w:left w:val="none" w:sz="0" w:space="0" w:color="auto"/>
        <w:bottom w:val="none" w:sz="0" w:space="0" w:color="auto"/>
        <w:right w:val="none" w:sz="0" w:space="0" w:color="auto"/>
      </w:divBdr>
    </w:div>
    <w:div w:id="189480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standards.gov.au/industry/foodrecalls" TargetMode="External"/><Relationship Id="rId13" Type="http://schemas.openxmlformats.org/officeDocument/2006/relationships/hyperlink" Target="https://www.aph.gov.au/Parliamentary_Business/Committees/House/Health_Aged_Care_and_Sport/Allergiesandanaphylaxis/Re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jpg@01D6431A.F5934B5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fgc.org.au/wp-content/uploads/2019/10/FINAL-Food_Industry_Guide_to_Allergen_Management_and_Labelling_ANZ_2019_VD3.pdf" TargetMode="External"/><Relationship Id="rId4" Type="http://schemas.openxmlformats.org/officeDocument/2006/relationships/numbering" Target="numbering.xml"/><Relationship Id="rId9" Type="http://schemas.openxmlformats.org/officeDocument/2006/relationships/hyperlink" Target="http://allergenbureau.net/vit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File_x0020_Category xmlns="1e2bdb2b-981f-4d38-b0f7-a8d047f128d0">Support/Finalisation</File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CC0D9090397648BEE7D2F4D5A715A7" ma:contentTypeVersion="" ma:contentTypeDescription="Create a new document." ma:contentTypeScope="" ma:versionID="43842669cc0dd4ca6d4b2bd1058cd496">
  <xsd:schema xmlns:xsd="http://www.w3.org/2001/XMLSchema" xmlns:xs="http://www.w3.org/2001/XMLSchema" xmlns:p="http://schemas.microsoft.com/office/2006/metadata/properties" xmlns:ns1="http://schemas.microsoft.com/sharepoint/v3" xmlns:ns2="1e2bdb2b-981f-4d38-b0f7-a8d047f128d0" xmlns:ns3="29eb54fa-20e8-4ba3-b286-510406575a4d" targetNamespace="http://schemas.microsoft.com/office/2006/metadata/properties" ma:root="true" ma:fieldsID="acde8b0b4dc1450e6ec287fba7dfaa88" ns1:_="" ns2:_="" ns3:_="">
    <xsd:import namespace="http://schemas.microsoft.com/sharepoint/v3"/>
    <xsd:import namespace="1e2bdb2b-981f-4d38-b0f7-a8d047f128d0"/>
    <xsd:import namespace="29eb54fa-20e8-4ba3-b286-510406575a4d"/>
    <xsd:element name="properties">
      <xsd:complexType>
        <xsd:sequence>
          <xsd:element name="documentManagement">
            <xsd:complexType>
              <xsd:all>
                <xsd:element ref="ns2:File_x0020_Category"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bdb2b-981f-4d38-b0f7-a8d047f128d0" elementFormDefault="qualified">
    <xsd:import namespace="http://schemas.microsoft.com/office/2006/documentManagement/types"/>
    <xsd:import namespace="http://schemas.microsoft.com/office/infopath/2007/PartnerControls"/>
    <xsd:element name="File_x0020_Category" ma:index="8" nillable="true" ma:displayName="File Category" ma:format="Dropdown" ma:internalName="File_x0020_Category">
      <xsd:simpleType>
        <xsd:restriction base="dms:Choice">
          <xsd:enumeration value="Face to Face Workshops"/>
          <xsd:enumeration value="Functional Analysis"/>
          <xsd:enumeration value="Mapping"/>
          <xsd:enumeration value="Project Documents"/>
          <xsd:enumeration value="Research"/>
          <xsd:enumeration value="SME Documents"/>
          <xsd:enumeration value="Support/Finalisation"/>
          <xsd:enumeration value="Templates"/>
          <xsd:enumeration value="Validation"/>
        </xsd:restriction>
      </xsd:simpleType>
    </xsd:element>
  </xsd:schema>
  <xsd:schema xmlns:xsd="http://www.w3.org/2001/XMLSchema" xmlns:xs="http://www.w3.org/2001/XMLSchema" xmlns:dms="http://schemas.microsoft.com/office/2006/documentManagement/types" xmlns:pc="http://schemas.microsoft.com/office/infopath/2007/PartnerControls" targetNamespace="29eb54fa-20e8-4ba3-b286-510406575a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7B57F-FE9C-488C-BE07-1AD4EDE992E5}">
  <ds:schemaRefs>
    <ds:schemaRef ds:uri="http://schemas.microsoft.com/sharepoint/v3/contenttype/forms"/>
  </ds:schemaRefs>
</ds:datastoreItem>
</file>

<file path=customXml/itemProps2.xml><?xml version="1.0" encoding="utf-8"?>
<ds:datastoreItem xmlns:ds="http://schemas.openxmlformats.org/officeDocument/2006/customXml" ds:itemID="{5B75B551-D884-439C-A8A9-253DBFC37B25}">
  <ds:schemaRefs>
    <ds:schemaRef ds:uri="http://schemas.microsoft.com/office/2006/metadata/properties"/>
    <ds:schemaRef ds:uri="http://schemas.microsoft.com/office/infopath/2007/PartnerControls"/>
    <ds:schemaRef ds:uri="http://schemas.microsoft.com/sharepoint/v3"/>
    <ds:schemaRef ds:uri="1e2bdb2b-981f-4d38-b0f7-a8d047f128d0"/>
  </ds:schemaRefs>
</ds:datastoreItem>
</file>

<file path=customXml/itemProps3.xml><?xml version="1.0" encoding="utf-8"?>
<ds:datastoreItem xmlns:ds="http://schemas.openxmlformats.org/officeDocument/2006/customXml" ds:itemID="{EA90E281-6F90-4ECB-AA4F-FD8E4E731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2bdb2b-981f-4d38-b0f7-a8d047f128d0"/>
    <ds:schemaRef ds:uri="29eb54fa-20e8-4ba3-b286-510406575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Oldfield</dc:creator>
  <cp:keywords/>
  <dc:description/>
  <cp:lastModifiedBy>Bridget Lutherborrow</cp:lastModifiedBy>
  <cp:revision>4</cp:revision>
  <dcterms:created xsi:type="dcterms:W3CDTF">2020-08-04T08:10:00Z</dcterms:created>
  <dcterms:modified xsi:type="dcterms:W3CDTF">2020-11-06T03:26:00Z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0x010100E3CC0D9090397648BEE7D2F4D5A715A7</vt:lpwstr>
  </property>
</Properties>
</file>