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1A38117" w:rsidR="00F1480E" w:rsidRPr="000754EC" w:rsidRDefault="002E410F" w:rsidP="00356A3D">
            <w:pPr>
              <w:pStyle w:val="SIUNITCODE"/>
            </w:pPr>
            <w:r>
              <w:t>SFI</w:t>
            </w:r>
            <w:r w:rsidR="00AD6755">
              <w:t>EMS</w:t>
            </w:r>
            <w:r w:rsidR="004C76EA">
              <w:t>5</w:t>
            </w:r>
            <w:r>
              <w:t>X</w:t>
            </w:r>
            <w:r w:rsidR="00AA3AB2">
              <w:t>2</w:t>
            </w:r>
          </w:p>
        </w:tc>
        <w:tc>
          <w:tcPr>
            <w:tcW w:w="3604" w:type="pct"/>
            <w:shd w:val="clear" w:color="auto" w:fill="auto"/>
          </w:tcPr>
          <w:p w14:paraId="41850966" w14:textId="118C95AF" w:rsidR="00F1480E" w:rsidRPr="000754EC" w:rsidRDefault="002641D0" w:rsidP="000754EC">
            <w:pPr>
              <w:pStyle w:val="SIUnittitle"/>
            </w:pPr>
            <w:r>
              <w:t>Plan</w:t>
            </w:r>
            <w:r w:rsidR="00AD6755">
              <w:t xml:space="preserve"> </w:t>
            </w:r>
            <w:r w:rsidR="00AA6E5B">
              <w:t xml:space="preserve">an </w:t>
            </w:r>
            <w:r w:rsidR="008578F9">
              <w:t>aquatic</w:t>
            </w:r>
            <w:r w:rsidR="00AD6755">
              <w:t xml:space="preserve"> environmental </w:t>
            </w:r>
            <w:r w:rsidR="004C76EA">
              <w:t>audit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630570D4" w14:textId="7164C22F" w:rsidR="00AD6755" w:rsidRPr="00AD6755" w:rsidRDefault="00AD6755" w:rsidP="00AD6755">
            <w:r w:rsidRPr="00AD6755">
              <w:t xml:space="preserve">This unit of competency describes the skills and knowledge required to </w:t>
            </w:r>
            <w:r w:rsidR="00F66189">
              <w:t xml:space="preserve">contribute to the development and implementation of </w:t>
            </w:r>
            <w:r w:rsidR="008578F9">
              <w:t>aquatic</w:t>
            </w:r>
            <w:r w:rsidR="00F66189">
              <w:t xml:space="preserve"> plans and strategies by </w:t>
            </w:r>
            <w:r w:rsidR="00440539">
              <w:t>planning</w:t>
            </w:r>
            <w:r w:rsidR="00D54530">
              <w:t xml:space="preserve"> </w:t>
            </w:r>
            <w:r w:rsidR="00195DFE">
              <w:t>a</w:t>
            </w:r>
            <w:r w:rsidR="00D54530">
              <w:t>n</w:t>
            </w:r>
            <w:r w:rsidR="00195DFE">
              <w:t xml:space="preserve"> </w:t>
            </w:r>
            <w:r w:rsidR="008578F9">
              <w:t>aquatic</w:t>
            </w:r>
            <w:r>
              <w:t xml:space="preserve"> </w:t>
            </w:r>
            <w:r w:rsidRPr="00AD6755">
              <w:t xml:space="preserve">environmental </w:t>
            </w:r>
            <w:r w:rsidR="00D54530">
              <w:t>audit</w:t>
            </w:r>
            <w:r w:rsidR="00F66189">
              <w:t xml:space="preserve"> that</w:t>
            </w:r>
            <w:r>
              <w:t xml:space="preserve"> incorporat</w:t>
            </w:r>
            <w:r w:rsidR="00F66189">
              <w:t>es</w:t>
            </w:r>
            <w:r w:rsidR="00295D22">
              <w:t xml:space="preserve"> ecological issue</w:t>
            </w:r>
            <w:r w:rsidR="00D54530">
              <w:t>s</w:t>
            </w:r>
            <w:r w:rsidR="00295D22">
              <w:t>,</w:t>
            </w:r>
            <w:r>
              <w:t xml:space="preserve"> and </w:t>
            </w:r>
            <w:r w:rsidR="00295D22">
              <w:t xml:space="preserve">the </w:t>
            </w:r>
            <w:r>
              <w:t>manag</w:t>
            </w:r>
            <w:r w:rsidR="00295D22">
              <w:t xml:space="preserve">ement of </w:t>
            </w:r>
            <w:r>
              <w:t xml:space="preserve">marine </w:t>
            </w:r>
            <w:r w:rsidR="001A0A0D">
              <w:t>species</w:t>
            </w:r>
            <w:r>
              <w:t>.</w:t>
            </w:r>
            <w:r w:rsidRPr="00AD6755">
              <w:t xml:space="preserve"> </w:t>
            </w:r>
          </w:p>
          <w:p w14:paraId="35CCF1C2" w14:textId="77777777" w:rsidR="00AD6755" w:rsidRDefault="00AD6755" w:rsidP="00AD6755"/>
          <w:p w14:paraId="1349D1C1" w14:textId="473E3001" w:rsidR="00F66189" w:rsidRDefault="00AD6755" w:rsidP="00D54530">
            <w:r w:rsidRPr="00AD6755">
              <w:t xml:space="preserve">This unit applies to individuals who have specialised </w:t>
            </w:r>
            <w:r w:rsidR="008578F9">
              <w:t>aquatic</w:t>
            </w:r>
            <w:r w:rsidR="00D54530">
              <w:t xml:space="preserve"> environmental knowledge </w:t>
            </w:r>
            <w:r w:rsidRPr="00AD6755">
              <w:t xml:space="preserve">and </w:t>
            </w:r>
            <w:r w:rsidR="001A0A0D">
              <w:t>develop processes</w:t>
            </w:r>
            <w:r w:rsidR="00D54530">
              <w:t xml:space="preserve">, liaise with clients and effectively identify </w:t>
            </w:r>
            <w:r w:rsidR="001A0A0D">
              <w:t>audit processes for the environmental impact of</w:t>
            </w:r>
            <w:r w:rsidR="00D54530">
              <w:t xml:space="preserve"> </w:t>
            </w:r>
            <w:r w:rsidR="008578F9">
              <w:t>aquatic</w:t>
            </w:r>
            <w:r w:rsidR="00D54530">
              <w:t xml:space="preserve"> practices. </w:t>
            </w:r>
          </w:p>
          <w:p w14:paraId="3AC50707" w14:textId="77777777" w:rsidR="00F66189" w:rsidRDefault="00F66189" w:rsidP="00D54530"/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48417A6" w:rsidR="002A586A" w:rsidRPr="002A586A" w:rsidRDefault="008578F9" w:rsidP="002A586A">
            <w:pPr>
              <w:pStyle w:val="SIText"/>
            </w:pPr>
            <w:r>
              <w:t>Aquatic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11C62" w:rsidRPr="00963A46" w14:paraId="0D4835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EF7EF1" w14:textId="5829BE9F" w:rsidR="00211C62" w:rsidRPr="002A586A" w:rsidRDefault="00211C62" w:rsidP="002A586A">
            <w:pPr>
              <w:pStyle w:val="SIText"/>
            </w:pPr>
            <w:r>
              <w:t xml:space="preserve">1. </w:t>
            </w:r>
            <w:r w:rsidR="002641D0">
              <w:t>Determine audit objectives</w:t>
            </w:r>
          </w:p>
        </w:tc>
        <w:tc>
          <w:tcPr>
            <w:tcW w:w="3604" w:type="pct"/>
            <w:shd w:val="clear" w:color="auto" w:fill="auto"/>
          </w:tcPr>
          <w:p w14:paraId="13A19588" w14:textId="726A4A47" w:rsidR="002641D0" w:rsidRDefault="00211C62" w:rsidP="0046425B">
            <w:r>
              <w:t xml:space="preserve">1.1 </w:t>
            </w:r>
            <w:r w:rsidR="002641D0">
              <w:t xml:space="preserve">Determine </w:t>
            </w:r>
            <w:r w:rsidR="00A27528">
              <w:t xml:space="preserve">the </w:t>
            </w:r>
            <w:r w:rsidR="002641D0">
              <w:t xml:space="preserve">purpose </w:t>
            </w:r>
            <w:r w:rsidR="00A27528">
              <w:t xml:space="preserve">and requirements of the </w:t>
            </w:r>
            <w:r w:rsidR="00A27528" w:rsidRPr="00A27528">
              <w:t xml:space="preserve">internal or external </w:t>
            </w:r>
            <w:r w:rsidR="00A27528">
              <w:t>environmental audit of aquatic operational processes</w:t>
            </w:r>
            <w:r w:rsidR="00154F6D">
              <w:t xml:space="preserve"> against the principles of integrated and sustainable aquatic systems</w:t>
            </w:r>
            <w:r w:rsidR="002641D0">
              <w:t xml:space="preserve"> </w:t>
            </w:r>
          </w:p>
          <w:p w14:paraId="5FA9A10A" w14:textId="01E9F0C3" w:rsidR="00A27528" w:rsidRDefault="00A27528" w:rsidP="0046425B">
            <w:r>
              <w:t>1.2 Determine how the aquatic operational processes will be assessed against environmental control standards and legislative requirements relevant to aquatic practices</w:t>
            </w:r>
          </w:p>
          <w:p w14:paraId="5CC659C4" w14:textId="63F20E3F" w:rsidR="0046425B" w:rsidRDefault="002641D0" w:rsidP="0046425B">
            <w:r>
              <w:t>1.</w:t>
            </w:r>
            <w:r w:rsidR="00A27528">
              <w:t>3</w:t>
            </w:r>
            <w:r>
              <w:t xml:space="preserve"> Consider the inclusion of audit </w:t>
            </w:r>
            <w:r w:rsidR="00BF011C">
              <w:t>standards relating to</w:t>
            </w:r>
            <w:r w:rsidR="0046425B">
              <w:t xml:space="preserve"> the health of marine species</w:t>
            </w:r>
            <w:r w:rsidR="00CA0A53">
              <w:t>;</w:t>
            </w:r>
            <w:r w:rsidR="0046425B">
              <w:t xml:space="preserve"> organic waste release</w:t>
            </w:r>
            <w:r w:rsidR="00CA0A53">
              <w:t>; water and</w:t>
            </w:r>
            <w:r w:rsidR="00085AA6">
              <w:t xml:space="preserve"> energy usage, interactions with wildlife and other species</w:t>
            </w:r>
            <w:r w:rsidR="00CA0A53">
              <w:t>; the use of aquatic technology;</w:t>
            </w:r>
            <w:r w:rsidR="00085AA6">
              <w:t xml:space="preserve"> and</w:t>
            </w:r>
            <w:r w:rsidR="0046425B">
              <w:t xml:space="preserve"> the health of coastal ecosy</w:t>
            </w:r>
            <w:r w:rsidR="005B6C18">
              <w:t>s</w:t>
            </w:r>
            <w:r w:rsidR="0046425B">
              <w:t xml:space="preserve">tems </w:t>
            </w:r>
          </w:p>
          <w:p w14:paraId="0BE5E328" w14:textId="511E5344" w:rsidR="002A3AF0" w:rsidRPr="002A586A" w:rsidRDefault="00211C62" w:rsidP="002641D0">
            <w:r>
              <w:t>1.</w:t>
            </w:r>
            <w:r w:rsidR="00A27528">
              <w:t>4</w:t>
            </w:r>
            <w:r>
              <w:t xml:space="preserve"> </w:t>
            </w:r>
            <w:r w:rsidR="002641D0">
              <w:t xml:space="preserve">Document </w:t>
            </w:r>
            <w:r w:rsidR="008578F9">
              <w:t>aquatic</w:t>
            </w:r>
            <w:r w:rsidR="002641D0">
              <w:t xml:space="preserve"> </w:t>
            </w:r>
            <w:r w:rsidR="002641D0" w:rsidRPr="002641D0">
              <w:t xml:space="preserve">environmental audit </w:t>
            </w:r>
            <w:r w:rsidR="002641D0">
              <w:t>objectives and standards</w:t>
            </w:r>
          </w:p>
        </w:tc>
      </w:tr>
      <w:tr w:rsidR="00442C0B" w:rsidRPr="00963A46" w14:paraId="448B36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E0318B" w14:textId="2F2440CD" w:rsidR="00442C0B" w:rsidRDefault="00442C0B" w:rsidP="002A586A">
            <w:pPr>
              <w:pStyle w:val="SIText"/>
            </w:pPr>
            <w:r>
              <w:t>2. Develop audit tools</w:t>
            </w:r>
          </w:p>
        </w:tc>
        <w:tc>
          <w:tcPr>
            <w:tcW w:w="3604" w:type="pct"/>
            <w:shd w:val="clear" w:color="auto" w:fill="auto"/>
          </w:tcPr>
          <w:p w14:paraId="41084318" w14:textId="13987A69" w:rsidR="00442C0B" w:rsidRPr="00442C0B" w:rsidRDefault="00442C0B" w:rsidP="00442C0B">
            <w:r w:rsidRPr="00442C0B">
              <w:t>2.</w:t>
            </w:r>
            <w:r>
              <w:t>1</w:t>
            </w:r>
            <w:r w:rsidRPr="00442C0B">
              <w:t xml:space="preserve"> Consider information gathering techniques and testing processes for audit purposes </w:t>
            </w:r>
          </w:p>
          <w:p w14:paraId="7502C788" w14:textId="78D91286" w:rsidR="00442C0B" w:rsidRPr="00442C0B" w:rsidRDefault="00442C0B" w:rsidP="00442C0B">
            <w:r w:rsidRPr="00442C0B">
              <w:t>2.</w:t>
            </w:r>
            <w:r>
              <w:t>2</w:t>
            </w:r>
            <w:r w:rsidRPr="00442C0B">
              <w:t xml:space="preserve"> Develop surveys or necessary documentation for the audit</w:t>
            </w:r>
          </w:p>
          <w:p w14:paraId="06ADA81E" w14:textId="70ECE0F8" w:rsidR="00442C0B" w:rsidRPr="00442C0B" w:rsidRDefault="00442C0B" w:rsidP="00442C0B">
            <w:r w:rsidRPr="00442C0B">
              <w:t>2.</w:t>
            </w:r>
            <w:r>
              <w:t>3</w:t>
            </w:r>
            <w:r w:rsidRPr="00442C0B">
              <w:t xml:space="preserve"> Anticipate the use of the audit resource requirements </w:t>
            </w:r>
          </w:p>
          <w:p w14:paraId="4F17362D" w14:textId="16825E78" w:rsidR="00442C0B" w:rsidRPr="00442C0B" w:rsidRDefault="00442C0B" w:rsidP="00442C0B">
            <w:r w:rsidRPr="00442C0B">
              <w:t>2.</w:t>
            </w:r>
            <w:r>
              <w:t>4</w:t>
            </w:r>
            <w:r w:rsidRPr="00442C0B">
              <w:t xml:space="preserve"> Obtain authorisation to proceed with the audit in accordance with workplace procedures and work health and safety standards (WHS) </w:t>
            </w:r>
          </w:p>
          <w:p w14:paraId="45D98334" w14:textId="68D57C52" w:rsidR="00442C0B" w:rsidRDefault="00442C0B" w:rsidP="00442C0B">
            <w:r w:rsidRPr="00442C0B">
              <w:t>2.</w:t>
            </w:r>
            <w:r>
              <w:t>5</w:t>
            </w:r>
            <w:r w:rsidRPr="00442C0B">
              <w:t xml:space="preserve"> Confirm guidelines for audit processes and confidentiality arrangements according to workplace requirements and</w:t>
            </w:r>
            <w:r w:rsidR="004B7765">
              <w:t xml:space="preserve"> regulatory</w:t>
            </w:r>
            <w:r w:rsidRPr="00442C0B">
              <w:t xml:space="preserve"> codes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224C742" w:rsidR="002A586A" w:rsidRPr="002A586A" w:rsidRDefault="00211C62" w:rsidP="002A586A">
            <w:pPr>
              <w:pStyle w:val="SIText"/>
            </w:pPr>
            <w:r>
              <w:t xml:space="preserve"> </w:t>
            </w:r>
            <w:r w:rsidR="002A3AF0">
              <w:t xml:space="preserve">2. </w:t>
            </w:r>
            <w:r w:rsidR="002641D0">
              <w:t xml:space="preserve">Scope the </w:t>
            </w:r>
            <w:r w:rsidR="009151E5">
              <w:t>audit site</w:t>
            </w:r>
          </w:p>
        </w:tc>
        <w:tc>
          <w:tcPr>
            <w:tcW w:w="3604" w:type="pct"/>
            <w:shd w:val="clear" w:color="auto" w:fill="auto"/>
          </w:tcPr>
          <w:p w14:paraId="69BD2177" w14:textId="4E91DAF1" w:rsidR="009151E5" w:rsidRDefault="00442C0B" w:rsidP="002A586A">
            <w:r>
              <w:t>3</w:t>
            </w:r>
            <w:r w:rsidR="002A586A" w:rsidRPr="002A586A">
              <w:t>.1</w:t>
            </w:r>
            <w:r w:rsidR="002A586A">
              <w:t xml:space="preserve"> </w:t>
            </w:r>
            <w:r w:rsidR="009151E5">
              <w:t>Obtain information relating to the site and its operational capacity from relevant personnel</w:t>
            </w:r>
            <w:r w:rsidR="00CA0A53">
              <w:t xml:space="preserve"> to determine audit planning needs</w:t>
            </w:r>
          </w:p>
          <w:p w14:paraId="1ABB0456" w14:textId="0DF733BD" w:rsidR="009151E5" w:rsidRPr="009151E5" w:rsidRDefault="00442C0B" w:rsidP="009151E5">
            <w:r>
              <w:t>3</w:t>
            </w:r>
            <w:r w:rsidR="009151E5">
              <w:t xml:space="preserve">.2 Assess site characteristics to determine </w:t>
            </w:r>
            <w:r w:rsidR="00AE1D7E">
              <w:t xml:space="preserve">site audit requirements relating to the </w:t>
            </w:r>
            <w:r w:rsidR="009151E5">
              <w:t>health of marine species</w:t>
            </w:r>
            <w:r w:rsidR="00CA0A53">
              <w:t>;</w:t>
            </w:r>
            <w:r w:rsidR="009151E5">
              <w:t xml:space="preserve"> organic waste release</w:t>
            </w:r>
            <w:r w:rsidR="00CA0A53">
              <w:t>;</w:t>
            </w:r>
            <w:r w:rsidR="009151E5" w:rsidRPr="009151E5">
              <w:t xml:space="preserve"> </w:t>
            </w:r>
            <w:r w:rsidR="00987838">
              <w:t xml:space="preserve">water and </w:t>
            </w:r>
            <w:r w:rsidR="009151E5" w:rsidRPr="009151E5">
              <w:t>energy usage</w:t>
            </w:r>
            <w:r w:rsidR="00CA0A53">
              <w:t>;</w:t>
            </w:r>
            <w:r w:rsidR="00095275">
              <w:t xml:space="preserve"> </w:t>
            </w:r>
            <w:r w:rsidR="009151E5" w:rsidRPr="009151E5">
              <w:t>interactions with wildlife and other species</w:t>
            </w:r>
            <w:r w:rsidR="00CA0A53">
              <w:t>; the use of aquatic technology;</w:t>
            </w:r>
            <w:r w:rsidR="009151E5" w:rsidRPr="009151E5">
              <w:t xml:space="preserve"> and the health of coastal ecosy</w:t>
            </w:r>
            <w:r w:rsidR="005B6C18">
              <w:t>s</w:t>
            </w:r>
            <w:r w:rsidR="009151E5" w:rsidRPr="009151E5">
              <w:t xml:space="preserve">tems </w:t>
            </w:r>
          </w:p>
          <w:p w14:paraId="03EC31D7" w14:textId="2290ADCF" w:rsidR="009151E5" w:rsidRDefault="00442C0B" w:rsidP="002A586A">
            <w:r>
              <w:t>3</w:t>
            </w:r>
            <w:r w:rsidR="009151E5">
              <w:t>.3 Report potential hazards</w:t>
            </w:r>
            <w:r w:rsidR="004B7765">
              <w:t xml:space="preserve"> and</w:t>
            </w:r>
            <w:r w:rsidR="009151E5">
              <w:t xml:space="preserve"> physical and operational risks that may arise </w:t>
            </w:r>
            <w:r w:rsidR="004B7765" w:rsidRPr="004B7765">
              <w:t xml:space="preserve">to relevant personnel </w:t>
            </w:r>
          </w:p>
          <w:p w14:paraId="2B79E0D5" w14:textId="284901EF" w:rsidR="009151E5" w:rsidRDefault="00442C0B" w:rsidP="002A586A">
            <w:r>
              <w:t>3</w:t>
            </w:r>
            <w:r w:rsidR="009151E5">
              <w:t xml:space="preserve">.4 Plan the date, time and duration of the audit </w:t>
            </w:r>
          </w:p>
          <w:p w14:paraId="202872FB" w14:textId="7ADF9946" w:rsidR="002E410F" w:rsidRPr="002A586A" w:rsidRDefault="00442C0B" w:rsidP="00442C0B">
            <w:r>
              <w:t>3</w:t>
            </w:r>
            <w:r w:rsidR="009151E5">
              <w:t xml:space="preserve">.5 Plan details relating to the specific site requirements, access to the site and emergency and personal protective equipment (PPE) requirements </w:t>
            </w:r>
            <w:r w:rsidR="00BF011C">
              <w:t xml:space="preserve"> 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0054D89" w:rsidR="002A586A" w:rsidRPr="002A586A" w:rsidRDefault="00442C0B" w:rsidP="002A586A">
            <w:pPr>
              <w:pStyle w:val="SIText"/>
            </w:pPr>
            <w:r>
              <w:t>4</w:t>
            </w:r>
            <w:r w:rsidR="002A586A">
              <w:t xml:space="preserve">. </w:t>
            </w:r>
            <w:r w:rsidR="00BF011C">
              <w:t>Record</w:t>
            </w:r>
            <w:r w:rsidR="00D716E8">
              <w:t xml:space="preserve"> </w:t>
            </w:r>
            <w:r w:rsidR="00A6606E">
              <w:t>audit plan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A284096" w14:textId="6ABB6F34" w:rsidR="005A2A0B" w:rsidRDefault="00442C0B" w:rsidP="00D716E8">
            <w:r>
              <w:t>4</w:t>
            </w:r>
            <w:r w:rsidR="00D716E8">
              <w:t xml:space="preserve">.1 </w:t>
            </w:r>
            <w:r w:rsidR="00A6606E">
              <w:t xml:space="preserve">Record </w:t>
            </w:r>
            <w:r w:rsidR="008578F9">
              <w:t>aquatic</w:t>
            </w:r>
            <w:r w:rsidR="00A6606E">
              <w:t xml:space="preserve"> </w:t>
            </w:r>
            <w:r w:rsidR="00A6606E" w:rsidRPr="00A6606E">
              <w:t>environmental audit</w:t>
            </w:r>
            <w:r w:rsidR="00A6606E">
              <w:t xml:space="preserve"> details in accordance with workplace procedures</w:t>
            </w:r>
          </w:p>
          <w:p w14:paraId="2B73179F" w14:textId="06EE8F9E" w:rsidR="008B60BF" w:rsidRPr="002A586A" w:rsidRDefault="00442C0B" w:rsidP="0085425D">
            <w:r>
              <w:t>4</w:t>
            </w:r>
            <w:r w:rsidR="005A2A0B">
              <w:t xml:space="preserve">.2 </w:t>
            </w:r>
            <w:r w:rsidR="00A6606E">
              <w:t xml:space="preserve">Complete documentation in relation to site visit purpose in accordance with assigned instructions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42ECEF86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5B6C18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 xml:space="preserve">nterpret </w:t>
            </w:r>
            <w:r w:rsidR="008578F9">
              <w:rPr>
                <w:rFonts w:eastAsia="Calibri"/>
              </w:rPr>
              <w:t>aquatic</w:t>
            </w:r>
            <w:r w:rsidR="005A2A0B">
              <w:rPr>
                <w:rFonts w:eastAsia="Calibri"/>
              </w:rPr>
              <w:t xml:space="preserve"> environmental principles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11F31E38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2B6459A1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E557F0">
              <w:rPr>
                <w:rFonts w:eastAsia="Calibri"/>
              </w:rPr>
              <w:t xml:space="preserve">test </w:t>
            </w:r>
            <w:r w:rsidR="00A6606E">
              <w:rPr>
                <w:rFonts w:eastAsia="Calibri"/>
              </w:rPr>
              <w:t xml:space="preserve">requirements </w:t>
            </w:r>
            <w:r w:rsidR="00E557F0">
              <w:rPr>
                <w:rFonts w:eastAsia="Calibri"/>
              </w:rPr>
              <w:t>with appropriate technical detail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234D5856" w:rsidR="002A586A" w:rsidRPr="002A586A" w:rsidRDefault="002E410F" w:rsidP="002A586A">
            <w:pPr>
              <w:pStyle w:val="SIText"/>
            </w:pPr>
            <w:r>
              <w:t>SFIAQU</w:t>
            </w:r>
            <w:r w:rsidR="004C76EA">
              <w:t>5</w:t>
            </w:r>
            <w:r>
              <w:t>X</w:t>
            </w:r>
            <w:r w:rsidR="00AA3AB2">
              <w:t>2</w:t>
            </w:r>
            <w:r w:rsidR="00E557F0">
              <w:t xml:space="preserve"> </w:t>
            </w:r>
            <w:r w:rsidR="002641D0">
              <w:t>Plan</w:t>
            </w:r>
            <w:r w:rsidR="00AA6E5B">
              <w:t xml:space="preserve"> an </w:t>
            </w:r>
            <w:r w:rsidR="008578F9">
              <w:t>aquatic</w:t>
            </w:r>
            <w:r w:rsidR="00AA6E5B">
              <w:t xml:space="preserve"> environmental </w:t>
            </w:r>
            <w:r w:rsidR="004C76EA">
              <w:t>audit</w:t>
            </w:r>
            <w:r w:rsidR="00AA6E5B">
              <w:t xml:space="preserve"> </w:t>
            </w:r>
          </w:p>
        </w:tc>
        <w:tc>
          <w:tcPr>
            <w:tcW w:w="1105" w:type="pct"/>
          </w:tcPr>
          <w:p w14:paraId="520629F4" w14:textId="2F8C027E" w:rsidR="002A586A" w:rsidRPr="002A586A" w:rsidRDefault="002E410F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A1C3280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2E410F">
              <w:t>SFI</w:t>
            </w:r>
            <w:r w:rsidR="004C76EA">
              <w:t>EMS5</w:t>
            </w:r>
            <w:r w:rsidR="002E410F">
              <w:t>X</w:t>
            </w:r>
            <w:r w:rsidR="00AA3AB2">
              <w:t>2</w:t>
            </w:r>
            <w:r w:rsidR="00774201" w:rsidRPr="002A586A">
              <w:t xml:space="preserve"> </w:t>
            </w:r>
            <w:r w:rsidR="002641D0">
              <w:t>Plan</w:t>
            </w:r>
            <w:r w:rsidR="004C76EA">
              <w:t xml:space="preserve"> an</w:t>
            </w:r>
            <w:r w:rsidR="00AA6E5B" w:rsidRPr="00AA6E5B">
              <w:t xml:space="preserve"> </w:t>
            </w:r>
            <w:r w:rsidR="008578F9">
              <w:t>aquatic</w:t>
            </w:r>
            <w:r w:rsidR="00AA6E5B" w:rsidRPr="00AA6E5B">
              <w:t xml:space="preserve"> environmental </w:t>
            </w:r>
            <w:r w:rsidR="004C76EA">
              <w:t>audit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</w:t>
            </w:r>
            <w:proofErr w:type="gramStart"/>
            <w:r w:rsidRPr="002A586A">
              <w:t xml:space="preserve">all </w:t>
            </w:r>
            <w:r w:rsidR="00A43CED">
              <w:t>of</w:t>
            </w:r>
            <w:proofErr w:type="gramEnd"/>
            <w:r w:rsidR="00A43CED">
              <w:t xml:space="preserve">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721D31C3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A6606E">
              <w:t xml:space="preserve">planned </w:t>
            </w:r>
            <w:r w:rsidR="004C76EA">
              <w:t xml:space="preserve">an </w:t>
            </w:r>
            <w:r w:rsidR="008578F9">
              <w:t>aquatic</w:t>
            </w:r>
            <w:r w:rsidR="00181824">
              <w:t xml:space="preserve"> </w:t>
            </w:r>
            <w:r w:rsidR="004C76EA">
              <w:t xml:space="preserve">environmental audit </w:t>
            </w:r>
            <w:r w:rsidR="00181824">
              <w:t xml:space="preserve">on at least </w:t>
            </w:r>
            <w:r w:rsidR="004C76EA">
              <w:t>one</w:t>
            </w:r>
            <w:r w:rsidR="00181824">
              <w:t xml:space="preserve"> occasion.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27EC799A" w14:textId="1340C356" w:rsidR="00A77B8D" w:rsidRPr="00A77B8D" w:rsidRDefault="00A77B8D" w:rsidP="00A77B8D">
            <w:pPr>
              <w:pStyle w:val="SIBulletList1"/>
            </w:pPr>
            <w:r>
              <w:t xml:space="preserve">identifying and measuring the effectiveness of </w:t>
            </w:r>
            <w:r w:rsidRPr="00A77B8D">
              <w:t xml:space="preserve">environmentally sustainable practices </w:t>
            </w:r>
            <w:r>
              <w:t xml:space="preserve">strategies </w:t>
            </w:r>
            <w:r w:rsidRPr="00A77B8D">
              <w:t>for:</w:t>
            </w:r>
          </w:p>
          <w:p w14:paraId="3601C005" w14:textId="73390E1D" w:rsidR="00A77B8D" w:rsidRDefault="00A77B8D" w:rsidP="00A77B8D">
            <w:pPr>
              <w:pStyle w:val="SIBulletList2"/>
            </w:pPr>
            <w:r w:rsidRPr="00A77B8D">
              <w:t>conserving energy resources</w:t>
            </w:r>
          </w:p>
          <w:p w14:paraId="6EDF58EF" w14:textId="5A76B85A" w:rsidR="00095275" w:rsidRPr="00A77B8D" w:rsidRDefault="00095275" w:rsidP="00A77B8D">
            <w:pPr>
              <w:pStyle w:val="SIBulletList2"/>
            </w:pPr>
            <w:r>
              <w:t>groundwater</w:t>
            </w:r>
            <w:r w:rsidR="00977D9E">
              <w:t xml:space="preserve"> monitoring</w:t>
            </w:r>
          </w:p>
          <w:p w14:paraId="7C3046B2" w14:textId="77777777" w:rsidR="00A77B8D" w:rsidRPr="00A77B8D" w:rsidRDefault="00A77B8D" w:rsidP="00A77B8D">
            <w:pPr>
              <w:pStyle w:val="SIBulletList2"/>
            </w:pPr>
            <w:r w:rsidRPr="00A77B8D">
              <w:t>managing water use</w:t>
            </w:r>
          </w:p>
          <w:p w14:paraId="6315146C" w14:textId="77777777" w:rsidR="00A77B8D" w:rsidRPr="00A77B8D" w:rsidRDefault="00A77B8D" w:rsidP="00A77B8D">
            <w:pPr>
              <w:pStyle w:val="SIBulletList2"/>
            </w:pPr>
            <w:r w:rsidRPr="00A77B8D">
              <w:t>minimising waste</w:t>
            </w:r>
          </w:p>
          <w:p w14:paraId="3ABD5385" w14:textId="36926C98" w:rsidR="00A77B8D" w:rsidRDefault="00A77B8D" w:rsidP="00A77B8D">
            <w:pPr>
              <w:pStyle w:val="SIBulletList2"/>
            </w:pPr>
            <w:r w:rsidRPr="00A77B8D">
              <w:t>minimising adverse interactions with wildlife</w:t>
            </w:r>
          </w:p>
          <w:p w14:paraId="2A5CDF75" w14:textId="13B5B7A0" w:rsidR="00A77B8D" w:rsidRPr="00A77B8D" w:rsidRDefault="00A77B8D" w:rsidP="00A77B8D">
            <w:pPr>
              <w:pStyle w:val="SIBulletList2"/>
            </w:pPr>
            <w:r>
              <w:t>using technology effectively</w:t>
            </w:r>
          </w:p>
          <w:p w14:paraId="30365CAC" w14:textId="543D130D" w:rsidR="00181824" w:rsidRDefault="00181824" w:rsidP="00737DEE">
            <w:pPr>
              <w:pStyle w:val="SIBulletList1"/>
            </w:pPr>
            <w:r>
              <w:t>reco</w:t>
            </w:r>
            <w:r w:rsidR="004C76EA">
              <w:t>r</w:t>
            </w:r>
            <w:r>
              <w:t xml:space="preserve">ding </w:t>
            </w:r>
            <w:r w:rsidR="004C76EA">
              <w:t xml:space="preserve">audit </w:t>
            </w:r>
            <w:r w:rsidR="00A6606E">
              <w:t>requirements</w:t>
            </w:r>
          </w:p>
          <w:p w14:paraId="5C507425" w14:textId="77777777" w:rsidR="002E410F" w:rsidRDefault="00181824" w:rsidP="00181824">
            <w:pPr>
              <w:pStyle w:val="SIBulletList1"/>
            </w:pPr>
            <w:r>
              <w:t>consulting effectively with relevant personnel</w:t>
            </w:r>
          </w:p>
          <w:p w14:paraId="61DEAB30" w14:textId="77777777" w:rsidR="00A07E6D" w:rsidRDefault="00A07E6D" w:rsidP="00181824">
            <w:pPr>
              <w:pStyle w:val="SIBulletList1"/>
            </w:pPr>
            <w:r>
              <w:t>identifying hazards and risks</w:t>
            </w:r>
          </w:p>
          <w:p w14:paraId="6D941E9F" w14:textId="77777777" w:rsidR="00A07E6D" w:rsidRDefault="00A07E6D" w:rsidP="00181824">
            <w:pPr>
              <w:pStyle w:val="SIBulletList1"/>
            </w:pPr>
            <w:r>
              <w:t>sourcing, organising and applying information</w:t>
            </w:r>
          </w:p>
          <w:p w14:paraId="370C98F4" w14:textId="38B4D867" w:rsidR="00A07E6D" w:rsidRDefault="00A6606E" w:rsidP="00181824">
            <w:pPr>
              <w:pStyle w:val="SIBulletList1"/>
            </w:pPr>
            <w:r>
              <w:t>anticipating emergency procedures and the use of</w:t>
            </w:r>
            <w:r w:rsidR="00A07E6D">
              <w:t xml:space="preserve"> PPE</w:t>
            </w:r>
            <w:r w:rsidR="00136BFE">
              <w:t xml:space="preserve"> </w:t>
            </w:r>
          </w:p>
          <w:p w14:paraId="0AAFC83B" w14:textId="0CDF1AF8" w:rsidR="00A07E6D" w:rsidRDefault="00A07E6D" w:rsidP="00181824">
            <w:pPr>
              <w:pStyle w:val="SIBulletList1"/>
            </w:pPr>
            <w:r>
              <w:t>complying with work health and safety standards</w:t>
            </w:r>
          </w:p>
          <w:p w14:paraId="661A5FC1" w14:textId="39B2A0F6" w:rsidR="00DB6695" w:rsidRDefault="00DB6695" w:rsidP="00181824">
            <w:pPr>
              <w:pStyle w:val="SIBulletList1"/>
            </w:pPr>
            <w:r>
              <w:t>developing surveys a</w:t>
            </w:r>
            <w:r w:rsidR="00987838">
              <w:t>n</w:t>
            </w:r>
            <w:r>
              <w:t>d necessary documentation</w:t>
            </w:r>
            <w:r w:rsidR="00A6606E">
              <w:t xml:space="preserve"> for the audit</w:t>
            </w:r>
          </w:p>
          <w:p w14:paraId="77DA5DCB" w14:textId="7682F59F" w:rsidR="00A07E6D" w:rsidRDefault="00A6606E" w:rsidP="00181824">
            <w:pPr>
              <w:pStyle w:val="SIBulletList1"/>
            </w:pPr>
            <w:r>
              <w:t xml:space="preserve">anticipating the use of </w:t>
            </w:r>
            <w:r w:rsidR="008578F9">
              <w:t>aquatic</w:t>
            </w:r>
            <w:r w:rsidR="00A07E6D">
              <w:t xml:space="preserve"> technology</w:t>
            </w:r>
          </w:p>
          <w:p w14:paraId="48A43C30" w14:textId="3BA174D7" w:rsidR="00E0162C" w:rsidRPr="002A586A" w:rsidRDefault="00A6606E" w:rsidP="00181824">
            <w:pPr>
              <w:pStyle w:val="SIBulletList1"/>
            </w:pPr>
            <w:r>
              <w:t xml:space="preserve">anticipating the use of </w:t>
            </w:r>
            <w:r w:rsidR="00A07E6D">
              <w:t>recording and photographic equipment</w:t>
            </w:r>
            <w:r w:rsidR="00181824">
              <w:t xml:space="preserve">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7A72028F" w14:textId="5F22E5BF" w:rsidR="00AF441D" w:rsidRDefault="00E61C2B" w:rsidP="00C81A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aquatic </w:t>
            </w:r>
            <w:r w:rsidR="00181824">
              <w:rPr>
                <w:rFonts w:eastAsia="Calibri"/>
              </w:rPr>
              <w:t>operational processes</w:t>
            </w:r>
            <w:r w:rsidR="00AF441D">
              <w:rPr>
                <w:rFonts w:eastAsia="Calibri"/>
              </w:rPr>
              <w:t>:</w:t>
            </w:r>
          </w:p>
          <w:p w14:paraId="76CD1413" w14:textId="32F3DEF0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fish farms</w:t>
            </w:r>
          </w:p>
          <w:p w14:paraId="50BC5CA7" w14:textId="7F41DC54" w:rsidR="00A27528" w:rsidRDefault="00BB297F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key features of </w:t>
            </w:r>
            <w:r w:rsidR="00A27528">
              <w:rPr>
                <w:rFonts w:eastAsia="Calibri"/>
              </w:rPr>
              <w:t>land</w:t>
            </w:r>
            <w:r w:rsidRPr="00C81A3E">
              <w:t xml:space="preserve"> </w:t>
            </w:r>
            <w:r w:rsidRPr="00BB297F">
              <w:t>and drainage catchment and coastal processes</w:t>
            </w:r>
          </w:p>
          <w:p w14:paraId="495AF7E0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transport of stock and equipment</w:t>
            </w:r>
          </w:p>
          <w:p w14:paraId="200E97F2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service of equipment</w:t>
            </w:r>
          </w:p>
          <w:p w14:paraId="74AA6B00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feed technology</w:t>
            </w:r>
          </w:p>
          <w:p w14:paraId="0BB325BC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environmental compliance</w:t>
            </w:r>
          </w:p>
          <w:p w14:paraId="02358C99" w14:textId="051BA809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high-energy sites</w:t>
            </w:r>
          </w:p>
          <w:p w14:paraId="25694C38" w14:textId="21F81491" w:rsidR="002A586A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real time </w:t>
            </w:r>
            <w:r w:rsidR="00A27528">
              <w:rPr>
                <w:rFonts w:eastAsia="Calibri"/>
              </w:rPr>
              <w:t>systems</w:t>
            </w:r>
            <w:r>
              <w:rPr>
                <w:rFonts w:eastAsia="Calibri"/>
              </w:rPr>
              <w:t xml:space="preserve"> </w:t>
            </w:r>
            <w:r w:rsidR="004168F3">
              <w:rPr>
                <w:rFonts w:eastAsia="Calibri"/>
              </w:rPr>
              <w:t xml:space="preserve"> </w:t>
            </w:r>
          </w:p>
          <w:p w14:paraId="4988C38B" w14:textId="163B7226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probe maintenance</w:t>
            </w:r>
          </w:p>
          <w:p w14:paraId="3B9574EE" w14:textId="1C39421B" w:rsidR="00136BFE" w:rsidRDefault="00C81A3E" w:rsidP="00C81A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136BFE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levant aspects of an </w:t>
            </w:r>
            <w:r w:rsidR="008578F9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environmental audit</w:t>
            </w:r>
            <w:r w:rsidR="00136BFE" w:rsidRPr="00136BFE">
              <w:rPr>
                <w:rFonts w:eastAsia="Calibri"/>
              </w:rPr>
              <w:t>:</w:t>
            </w:r>
          </w:p>
          <w:p w14:paraId="4681CAA3" w14:textId="4F8550C7" w:rsidR="00C81A3E" w:rsidRDefault="00C81A3E" w:rsidP="00C81A3E">
            <w:pPr>
              <w:pStyle w:val="SIBulletList2"/>
            </w:pPr>
            <w:r>
              <w:t xml:space="preserve">waste evaluation </w:t>
            </w:r>
          </w:p>
          <w:p w14:paraId="7C47A202" w14:textId="6BA79C3D" w:rsidR="00C81A3E" w:rsidRDefault="00C81A3E" w:rsidP="00C81A3E">
            <w:pPr>
              <w:pStyle w:val="SIBulletList2"/>
            </w:pPr>
            <w:r>
              <w:t>energy usage, including fuel efficiency, passive energy use</w:t>
            </w:r>
          </w:p>
          <w:p w14:paraId="631F1BEA" w14:textId="59C4A680" w:rsidR="00C81A3E" w:rsidRDefault="00C81A3E" w:rsidP="00C81A3E">
            <w:pPr>
              <w:pStyle w:val="SIBulletList2"/>
            </w:pPr>
            <w:r>
              <w:t>water resource management, including the minimisation of water contamination with chemicals</w:t>
            </w:r>
          </w:p>
          <w:p w14:paraId="3B7EBD25" w14:textId="401F0FB5" w:rsidR="00C81A3E" w:rsidRDefault="00C81A3E" w:rsidP="00C81A3E">
            <w:pPr>
              <w:pStyle w:val="SIBulletList2"/>
            </w:pPr>
            <w:r>
              <w:t>minimising interactions with wildlife and other resource users</w:t>
            </w:r>
          </w:p>
          <w:p w14:paraId="082B05D1" w14:textId="27AF3055" w:rsidR="00C81A3E" w:rsidRDefault="00C81A3E" w:rsidP="00C81A3E">
            <w:pPr>
              <w:pStyle w:val="SIBulletList2"/>
            </w:pPr>
            <w:r>
              <w:t>effec</w:t>
            </w:r>
            <w:r w:rsidRPr="00C81A3E">
              <w:t>tive use of technology and atomisation</w:t>
            </w:r>
            <w:r w:rsidR="005B02B8">
              <w:t xml:space="preserve"> and options for improvements</w:t>
            </w:r>
          </w:p>
          <w:p w14:paraId="229718C7" w14:textId="1972547A" w:rsidR="00A77B8D" w:rsidRDefault="00A77B8D" w:rsidP="00C81A3E">
            <w:pPr>
              <w:pStyle w:val="SIBulletList2"/>
            </w:pPr>
            <w:r>
              <w:t xml:space="preserve">the general features and capabilities of </w:t>
            </w:r>
            <w:r w:rsidR="008578F9">
              <w:t>aquatic</w:t>
            </w:r>
            <w:r>
              <w:t xml:space="preserve"> technology</w:t>
            </w:r>
          </w:p>
          <w:p w14:paraId="37AEC789" w14:textId="2788334B" w:rsidR="00A77B8D" w:rsidRDefault="00A77B8D" w:rsidP="00C81A3E">
            <w:pPr>
              <w:pStyle w:val="SIBulletList2"/>
            </w:pPr>
            <w:r>
              <w:t>water management systems</w:t>
            </w:r>
          </w:p>
          <w:p w14:paraId="6A42EA8E" w14:textId="18C0D075" w:rsidR="00C81A3E" w:rsidRPr="00C81A3E" w:rsidRDefault="00C81A3E" w:rsidP="00C81A3E">
            <w:pPr>
              <w:pStyle w:val="SIBulletList1"/>
            </w:pPr>
            <w:r w:rsidRPr="00C81A3E">
              <w:t xml:space="preserve">environmental control standards </w:t>
            </w:r>
            <w:r w:rsidR="00154F6D">
              <w:t xml:space="preserve">and legislative requirements </w:t>
            </w:r>
            <w:r w:rsidRPr="00C81A3E">
              <w:t xml:space="preserve">relevant to </w:t>
            </w:r>
            <w:r w:rsidR="008578F9">
              <w:t>aquatic</w:t>
            </w:r>
            <w:r w:rsidRPr="00C81A3E">
              <w:t xml:space="preserve"> practices</w:t>
            </w:r>
          </w:p>
          <w:p w14:paraId="766F3355" w14:textId="77777777" w:rsidR="00C81A3E" w:rsidRPr="00C81A3E" w:rsidRDefault="00C81A3E" w:rsidP="00C81A3E">
            <w:pPr>
              <w:pStyle w:val="SIBulletList1"/>
            </w:pPr>
            <w:r w:rsidRPr="00C81A3E">
              <w:t xml:space="preserve">environmental risk identification and reduction </w:t>
            </w:r>
          </w:p>
          <w:p w14:paraId="648B181F" w14:textId="56EDC877" w:rsidR="00C81A3E" w:rsidRPr="00C81A3E" w:rsidRDefault="00C81A3E" w:rsidP="00C81A3E">
            <w:pPr>
              <w:pStyle w:val="SIBulletList1"/>
            </w:pPr>
            <w:r w:rsidRPr="00C81A3E">
              <w:t xml:space="preserve">principles of integrated and sustainable </w:t>
            </w:r>
            <w:r w:rsidR="008578F9">
              <w:t>aquatic</w:t>
            </w:r>
            <w:r w:rsidRPr="00C81A3E">
              <w:t xml:space="preserve"> systems</w:t>
            </w:r>
            <w:r w:rsidR="00154F6D">
              <w:t>, including:</w:t>
            </w:r>
          </w:p>
          <w:p w14:paraId="1524FBBF" w14:textId="77777777" w:rsidR="00C81A3E" w:rsidRPr="00C81A3E" w:rsidRDefault="00C81A3E" w:rsidP="00154F6D">
            <w:pPr>
              <w:pStyle w:val="SIBulletList2"/>
            </w:pPr>
            <w:r w:rsidRPr="00C81A3E">
              <w:t>effect of effluent on plants, animals and environment</w:t>
            </w:r>
          </w:p>
          <w:p w14:paraId="46DA915F" w14:textId="556C1A7D" w:rsidR="00C81A3E" w:rsidRDefault="00C81A3E" w:rsidP="00154F6D">
            <w:pPr>
              <w:pStyle w:val="SIBulletList2"/>
            </w:pPr>
            <w:r w:rsidRPr="00C81A3E">
              <w:t>energy flows and food webs</w:t>
            </w:r>
          </w:p>
          <w:p w14:paraId="2F412047" w14:textId="618C1E4B" w:rsidR="00154F6D" w:rsidRDefault="00154F6D" w:rsidP="00154F6D">
            <w:pPr>
              <w:pStyle w:val="SIBulletList2"/>
            </w:pPr>
            <w:r w:rsidRPr="00154F6D">
              <w:t>nutrient cycling</w:t>
            </w:r>
          </w:p>
          <w:p w14:paraId="577312AA" w14:textId="38219781" w:rsidR="00154F6D" w:rsidRPr="00C81A3E" w:rsidRDefault="00154F6D" w:rsidP="00154F6D">
            <w:pPr>
              <w:pStyle w:val="SIBulletList2"/>
            </w:pPr>
            <w:r w:rsidRPr="00154F6D">
              <w:t>impact of noise, dust, odour and light control</w:t>
            </w:r>
          </w:p>
          <w:p w14:paraId="7F250AB5" w14:textId="0D83A479" w:rsidR="00EE345A" w:rsidRDefault="008578F9" w:rsidP="00A77B8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</w:t>
            </w:r>
            <w:r w:rsidR="00A07E6D">
              <w:rPr>
                <w:rFonts w:eastAsia="Calibri"/>
              </w:rPr>
              <w:t>work health</w:t>
            </w:r>
            <w:r w:rsidR="003451E0">
              <w:rPr>
                <w:rFonts w:eastAsia="Calibri"/>
              </w:rPr>
              <w:t xml:space="preserve"> and safety (WHS)</w:t>
            </w:r>
            <w:r w:rsidR="00A07E6D">
              <w:rPr>
                <w:rFonts w:eastAsia="Calibri"/>
              </w:rPr>
              <w:t xml:space="preserve"> standards</w:t>
            </w:r>
            <w:r w:rsidR="00EE345A">
              <w:rPr>
                <w:rFonts w:eastAsia="Calibri"/>
              </w:rPr>
              <w:t xml:space="preserve"> </w:t>
            </w:r>
          </w:p>
          <w:p w14:paraId="1C890D3B" w14:textId="0F090AFA" w:rsidR="007C3B37" w:rsidRPr="002A586A" w:rsidRDefault="007C3B37" w:rsidP="00A77B8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audit planning processes</w:t>
            </w:r>
            <w:r w:rsidR="00BB297F">
              <w:rPr>
                <w:rFonts w:eastAsia="Calibri"/>
              </w:rPr>
              <w:t>, including:</w:t>
            </w:r>
          </w:p>
          <w:p w14:paraId="62414C2A" w14:textId="77777777" w:rsidR="00BB297F" w:rsidRPr="00BB297F" w:rsidRDefault="00EE345A" w:rsidP="00BB297F">
            <w:pPr>
              <w:pStyle w:val="SIBulletList2"/>
            </w:pPr>
            <w:r>
              <w:rPr>
                <w:rFonts w:eastAsia="Calibri"/>
              </w:rPr>
              <w:t>information gathering techniques</w:t>
            </w:r>
          </w:p>
          <w:p w14:paraId="1650DB9D" w14:textId="77777777" w:rsidR="000C17F0" w:rsidRPr="000C17F0" w:rsidRDefault="000C17F0" w:rsidP="000C17F0">
            <w:pPr>
              <w:pStyle w:val="SIBulletList2"/>
              <w:rPr>
                <w:rFonts w:eastAsia="Calibri"/>
              </w:rPr>
            </w:pPr>
            <w:r w:rsidRPr="000C17F0">
              <w:rPr>
                <w:rFonts w:eastAsia="Calibri"/>
              </w:rPr>
              <w:t>testing and result interpretation processes</w:t>
            </w:r>
          </w:p>
          <w:p w14:paraId="23F01C00" w14:textId="77777777" w:rsidR="00BB297F" w:rsidRPr="00BB297F" w:rsidRDefault="00BB297F" w:rsidP="00BB297F">
            <w:pPr>
              <w:pStyle w:val="SIBulletList2"/>
            </w:pPr>
            <w:r>
              <w:rPr>
                <w:rFonts w:eastAsia="Calibri"/>
              </w:rPr>
              <w:t>survey planning</w:t>
            </w:r>
          </w:p>
          <w:p w14:paraId="725C6877" w14:textId="77777777" w:rsidR="00BB297F" w:rsidRPr="00BB297F" w:rsidRDefault="00BB297F" w:rsidP="00BB297F">
            <w:pPr>
              <w:pStyle w:val="SIBulletList2"/>
            </w:pPr>
            <w:r>
              <w:rPr>
                <w:rFonts w:eastAsia="Calibri"/>
              </w:rPr>
              <w:t>operational processes that should be included</w:t>
            </w:r>
          </w:p>
          <w:p w14:paraId="43AEBF70" w14:textId="77777777" w:rsidR="000C17F0" w:rsidRPr="000C17F0" w:rsidRDefault="00BB297F" w:rsidP="00BB297F">
            <w:pPr>
              <w:pStyle w:val="SIBulletList2"/>
            </w:pPr>
            <w:r>
              <w:rPr>
                <w:rFonts w:eastAsia="Calibri"/>
              </w:rPr>
              <w:t>consultative processes</w:t>
            </w:r>
          </w:p>
          <w:p w14:paraId="7D18C0FD" w14:textId="21F31184" w:rsidR="002A586A" w:rsidRPr="002A586A" w:rsidRDefault="000C17F0" w:rsidP="00BB297F">
            <w:pPr>
              <w:pStyle w:val="SIBulletList2"/>
            </w:pPr>
            <w:r w:rsidRPr="000C17F0">
              <w:rPr>
                <w:rFonts w:eastAsia="Calibri"/>
              </w:rPr>
              <w:t>options for use of specialised contract services</w:t>
            </w:r>
            <w:r w:rsidR="00BB297F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151E5553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4B7765">
              <w:rPr>
                <w:rFonts w:eastAsia="Calibri"/>
              </w:rPr>
              <w:t>an</w:t>
            </w:r>
            <w:r w:rsidR="00476E86">
              <w:rPr>
                <w:rFonts w:eastAsia="Calibri"/>
              </w:rPr>
              <w:t xml:space="preserve"> </w:t>
            </w:r>
            <w:r w:rsidR="008578F9">
              <w:rPr>
                <w:rFonts w:eastAsia="Calibri"/>
              </w:rPr>
              <w:t>aquatic</w:t>
            </w:r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2F7722C5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8578F9">
              <w:rPr>
                <w:rFonts w:eastAsia="Calibri"/>
              </w:rPr>
              <w:t>aquatic</w:t>
            </w:r>
            <w:r w:rsidR="00A77B8D">
              <w:rPr>
                <w:rFonts w:eastAsia="Calibri"/>
              </w:rPr>
              <w:t xml:space="preserve"> technology or systems to monitor operational capacity and usage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5936285A" w:rsidR="000B11BF" w:rsidRDefault="00A77B8D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A77B8D">
              <w:rPr>
                <w:rFonts w:eastAsia="Calibri"/>
              </w:rPr>
              <w:t xml:space="preserve">ccess to </w:t>
            </w:r>
            <w:r w:rsidR="008578F9">
              <w:rPr>
                <w:rFonts w:eastAsia="Calibri"/>
              </w:rPr>
              <w:t>aquatic</w:t>
            </w:r>
            <w:r w:rsidRPr="00A77B8D">
              <w:rPr>
                <w:rFonts w:eastAsia="Calibri"/>
              </w:rPr>
              <w:t xml:space="preserve"> operational records</w:t>
            </w:r>
          </w:p>
          <w:p w14:paraId="10F247F6" w14:textId="2DDDE720" w:rsidR="00A77B8D" w:rsidRDefault="00A77B8D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audit tools</w:t>
            </w:r>
          </w:p>
          <w:p w14:paraId="12EC9B18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532B0A53" w14:textId="023EE46C" w:rsidR="002A586A" w:rsidRPr="002A586A" w:rsidRDefault="00216E38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evidence of </w:t>
            </w:r>
            <w:r w:rsidR="000B11BF">
              <w:rPr>
                <w:rFonts w:eastAsia="Calibri"/>
              </w:rPr>
              <w:t xml:space="preserve">interactions with </w:t>
            </w:r>
            <w:r w:rsidR="00EE345A">
              <w:rPr>
                <w:rFonts w:eastAsia="Calibri"/>
              </w:rPr>
              <w:t>relevant personnel</w:t>
            </w:r>
            <w:r w:rsidR="002A586A" w:rsidRPr="002A586A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3FB8" w14:textId="77777777" w:rsidR="00A24C6C" w:rsidRDefault="00A24C6C" w:rsidP="00BF3F0A">
      <w:r>
        <w:separator/>
      </w:r>
    </w:p>
    <w:p w14:paraId="1EC242CC" w14:textId="77777777" w:rsidR="00A24C6C" w:rsidRDefault="00A24C6C"/>
  </w:endnote>
  <w:endnote w:type="continuationSeparator" w:id="0">
    <w:p w14:paraId="387B2B15" w14:textId="77777777" w:rsidR="00A24C6C" w:rsidRDefault="00A24C6C" w:rsidP="00BF3F0A">
      <w:r>
        <w:continuationSeparator/>
      </w:r>
    </w:p>
    <w:p w14:paraId="68309F24" w14:textId="77777777" w:rsidR="00A24C6C" w:rsidRDefault="00A24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28858610" w:rsidR="00D810DE" w:rsidRDefault="000E25E6" w:rsidP="005F771F">
        <w:pPr>
          <w:pStyle w:val="SIText"/>
        </w:pPr>
        <w:r w:rsidRPr="000754EC">
          <w:t xml:space="preserve">Template modified </w:t>
        </w:r>
        <w:r w:rsidR="005B6C18">
          <w:t>in August 2019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2B44" w14:textId="77777777" w:rsidR="00A24C6C" w:rsidRDefault="00A24C6C" w:rsidP="00BF3F0A">
      <w:r>
        <w:separator/>
      </w:r>
    </w:p>
    <w:p w14:paraId="7190BB4C" w14:textId="77777777" w:rsidR="00A24C6C" w:rsidRDefault="00A24C6C"/>
  </w:footnote>
  <w:footnote w:type="continuationSeparator" w:id="0">
    <w:p w14:paraId="1A7A522D" w14:textId="77777777" w:rsidR="00A24C6C" w:rsidRDefault="00A24C6C" w:rsidP="00BF3F0A">
      <w:r>
        <w:continuationSeparator/>
      </w:r>
    </w:p>
    <w:p w14:paraId="61AF433D" w14:textId="77777777" w:rsidR="00A24C6C" w:rsidRDefault="00A24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3AC647FA" w:rsidR="00540BD0" w:rsidRDefault="00A24C6C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E410F">
      <w:t>SFI</w:t>
    </w:r>
    <w:r w:rsidR="00AD6755">
      <w:t>EMS</w:t>
    </w:r>
    <w:r w:rsidR="004C76EA">
      <w:t>5</w:t>
    </w:r>
    <w:r w:rsidR="002E410F">
      <w:t>X</w:t>
    </w:r>
    <w:r w:rsidR="00AA3AB2">
      <w:t>2</w:t>
    </w:r>
    <w:r w:rsidR="00430533">
      <w:t xml:space="preserve"> </w:t>
    </w:r>
    <w:r w:rsidR="002641D0">
      <w:t>Plan</w:t>
    </w:r>
    <w:r w:rsidR="004C76EA">
      <w:t xml:space="preserve"> </w:t>
    </w:r>
    <w:r w:rsidR="00AA6E5B">
      <w:t xml:space="preserve">an </w:t>
    </w:r>
    <w:r w:rsidR="008578F9">
      <w:t>aquatic</w:t>
    </w:r>
    <w:r w:rsidR="00AA6E5B">
      <w:t xml:space="preserve"> environmental </w:t>
    </w:r>
    <w:r w:rsidR="004C76EA">
      <w:t>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F43"/>
    <w:multiLevelType w:val="multilevel"/>
    <w:tmpl w:val="9F8EA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802EC2"/>
    <w:multiLevelType w:val="multilevel"/>
    <w:tmpl w:val="E920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F87BD4"/>
    <w:multiLevelType w:val="multilevel"/>
    <w:tmpl w:val="8258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2"/>
  </w:num>
  <w:num w:numId="18">
    <w:abstractNumId w:val="20"/>
  </w:num>
  <w:num w:numId="19">
    <w:abstractNumId w:val="8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302D3"/>
    <w:rsid w:val="00037398"/>
    <w:rsid w:val="00041E59"/>
    <w:rsid w:val="00056DD6"/>
    <w:rsid w:val="00062A64"/>
    <w:rsid w:val="00064BFE"/>
    <w:rsid w:val="00070B3E"/>
    <w:rsid w:val="00071F95"/>
    <w:rsid w:val="000737BB"/>
    <w:rsid w:val="00074E47"/>
    <w:rsid w:val="000754EC"/>
    <w:rsid w:val="00081789"/>
    <w:rsid w:val="0008583A"/>
    <w:rsid w:val="00085AA6"/>
    <w:rsid w:val="00086137"/>
    <w:rsid w:val="000877EC"/>
    <w:rsid w:val="00090803"/>
    <w:rsid w:val="0009093B"/>
    <w:rsid w:val="00095275"/>
    <w:rsid w:val="000A5441"/>
    <w:rsid w:val="000B11BF"/>
    <w:rsid w:val="000B4C3E"/>
    <w:rsid w:val="000C149A"/>
    <w:rsid w:val="000C17F0"/>
    <w:rsid w:val="000C224E"/>
    <w:rsid w:val="000C6F59"/>
    <w:rsid w:val="000E25E6"/>
    <w:rsid w:val="000E2C86"/>
    <w:rsid w:val="000F29F2"/>
    <w:rsid w:val="00101659"/>
    <w:rsid w:val="00105AEA"/>
    <w:rsid w:val="001078BF"/>
    <w:rsid w:val="001134B1"/>
    <w:rsid w:val="00133957"/>
    <w:rsid w:val="001342B8"/>
    <w:rsid w:val="00136615"/>
    <w:rsid w:val="00136BFE"/>
    <w:rsid w:val="001372F6"/>
    <w:rsid w:val="00144385"/>
    <w:rsid w:val="00144772"/>
    <w:rsid w:val="00146EEC"/>
    <w:rsid w:val="00151D55"/>
    <w:rsid w:val="00151D93"/>
    <w:rsid w:val="00154F6D"/>
    <w:rsid w:val="00156EF3"/>
    <w:rsid w:val="001742E3"/>
    <w:rsid w:val="00176E4F"/>
    <w:rsid w:val="00181824"/>
    <w:rsid w:val="00183247"/>
    <w:rsid w:val="0018546B"/>
    <w:rsid w:val="001904F8"/>
    <w:rsid w:val="001939B2"/>
    <w:rsid w:val="00195B88"/>
    <w:rsid w:val="00195DFE"/>
    <w:rsid w:val="001A0A0D"/>
    <w:rsid w:val="001A0C7D"/>
    <w:rsid w:val="001A686A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1C62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641D0"/>
    <w:rsid w:val="00273B5B"/>
    <w:rsid w:val="00276DB8"/>
    <w:rsid w:val="002775F7"/>
    <w:rsid w:val="00282664"/>
    <w:rsid w:val="00285FB8"/>
    <w:rsid w:val="00295D22"/>
    <w:rsid w:val="002970C3"/>
    <w:rsid w:val="002A3AF0"/>
    <w:rsid w:val="002A4CD3"/>
    <w:rsid w:val="002A586A"/>
    <w:rsid w:val="002A6CC4"/>
    <w:rsid w:val="002C55E9"/>
    <w:rsid w:val="002D0C8B"/>
    <w:rsid w:val="002D330A"/>
    <w:rsid w:val="002D42CF"/>
    <w:rsid w:val="002D7849"/>
    <w:rsid w:val="002E02D9"/>
    <w:rsid w:val="002E170C"/>
    <w:rsid w:val="002E193E"/>
    <w:rsid w:val="002E410F"/>
    <w:rsid w:val="003036B6"/>
    <w:rsid w:val="00305EFF"/>
    <w:rsid w:val="00310A6A"/>
    <w:rsid w:val="003144E6"/>
    <w:rsid w:val="00337E82"/>
    <w:rsid w:val="003423DE"/>
    <w:rsid w:val="003451E0"/>
    <w:rsid w:val="00346FDC"/>
    <w:rsid w:val="00350BB1"/>
    <w:rsid w:val="00352C83"/>
    <w:rsid w:val="00356A3D"/>
    <w:rsid w:val="00360CB2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45B"/>
    <w:rsid w:val="003D2E73"/>
    <w:rsid w:val="003E72B6"/>
    <w:rsid w:val="003E7BBE"/>
    <w:rsid w:val="00404CB1"/>
    <w:rsid w:val="004127E3"/>
    <w:rsid w:val="004168F3"/>
    <w:rsid w:val="00430533"/>
    <w:rsid w:val="0043212E"/>
    <w:rsid w:val="00434366"/>
    <w:rsid w:val="00434ECE"/>
    <w:rsid w:val="00440539"/>
    <w:rsid w:val="00442C0B"/>
    <w:rsid w:val="00444423"/>
    <w:rsid w:val="00452F3E"/>
    <w:rsid w:val="00454668"/>
    <w:rsid w:val="004640AE"/>
    <w:rsid w:val="0046425B"/>
    <w:rsid w:val="004679E3"/>
    <w:rsid w:val="00475172"/>
    <w:rsid w:val="004758B0"/>
    <w:rsid w:val="00476E86"/>
    <w:rsid w:val="004832D2"/>
    <w:rsid w:val="00485559"/>
    <w:rsid w:val="004A142B"/>
    <w:rsid w:val="004A2CE3"/>
    <w:rsid w:val="004A3860"/>
    <w:rsid w:val="004A44E8"/>
    <w:rsid w:val="004A581D"/>
    <w:rsid w:val="004A7706"/>
    <w:rsid w:val="004B29B7"/>
    <w:rsid w:val="004B3CBC"/>
    <w:rsid w:val="004B50B6"/>
    <w:rsid w:val="004B7765"/>
    <w:rsid w:val="004B7A28"/>
    <w:rsid w:val="004C2244"/>
    <w:rsid w:val="004C76E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7AA3"/>
    <w:rsid w:val="00520E9A"/>
    <w:rsid w:val="005248C1"/>
    <w:rsid w:val="00526134"/>
    <w:rsid w:val="0053233F"/>
    <w:rsid w:val="005328E2"/>
    <w:rsid w:val="005405B2"/>
    <w:rsid w:val="00540BD0"/>
    <w:rsid w:val="00542204"/>
    <w:rsid w:val="005427C8"/>
    <w:rsid w:val="005446D1"/>
    <w:rsid w:val="00556C4C"/>
    <w:rsid w:val="00557369"/>
    <w:rsid w:val="00564ADD"/>
    <w:rsid w:val="005708EB"/>
    <w:rsid w:val="00572DCA"/>
    <w:rsid w:val="00575BC6"/>
    <w:rsid w:val="00583902"/>
    <w:rsid w:val="00594691"/>
    <w:rsid w:val="0059482E"/>
    <w:rsid w:val="005A1D70"/>
    <w:rsid w:val="005A2A0B"/>
    <w:rsid w:val="005A3AA5"/>
    <w:rsid w:val="005A6C9C"/>
    <w:rsid w:val="005A74DC"/>
    <w:rsid w:val="005B02B8"/>
    <w:rsid w:val="005B5146"/>
    <w:rsid w:val="005B6C18"/>
    <w:rsid w:val="005C278C"/>
    <w:rsid w:val="005D1AFD"/>
    <w:rsid w:val="005E51E6"/>
    <w:rsid w:val="005F027A"/>
    <w:rsid w:val="005F33CC"/>
    <w:rsid w:val="005F771F"/>
    <w:rsid w:val="0060562A"/>
    <w:rsid w:val="006121D4"/>
    <w:rsid w:val="00613B49"/>
    <w:rsid w:val="00616845"/>
    <w:rsid w:val="00620E8E"/>
    <w:rsid w:val="00621674"/>
    <w:rsid w:val="00627EEB"/>
    <w:rsid w:val="00630BED"/>
    <w:rsid w:val="00633CFE"/>
    <w:rsid w:val="00634FCA"/>
    <w:rsid w:val="00643D1B"/>
    <w:rsid w:val="006452B8"/>
    <w:rsid w:val="006470B0"/>
    <w:rsid w:val="00652E62"/>
    <w:rsid w:val="00685642"/>
    <w:rsid w:val="00686A49"/>
    <w:rsid w:val="00687B62"/>
    <w:rsid w:val="00690C44"/>
    <w:rsid w:val="006969D9"/>
    <w:rsid w:val="006A2B68"/>
    <w:rsid w:val="006A3822"/>
    <w:rsid w:val="006A76B5"/>
    <w:rsid w:val="006C2F32"/>
    <w:rsid w:val="006D38C3"/>
    <w:rsid w:val="006D4448"/>
    <w:rsid w:val="006D6DFD"/>
    <w:rsid w:val="006D7F83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81D77"/>
    <w:rsid w:val="00783549"/>
    <w:rsid w:val="007860B7"/>
    <w:rsid w:val="00786DC8"/>
    <w:rsid w:val="007A0E5F"/>
    <w:rsid w:val="007A300D"/>
    <w:rsid w:val="007C29A5"/>
    <w:rsid w:val="007C3B37"/>
    <w:rsid w:val="007C77E2"/>
    <w:rsid w:val="007D5A78"/>
    <w:rsid w:val="007E3BD1"/>
    <w:rsid w:val="007F1563"/>
    <w:rsid w:val="007F1EB2"/>
    <w:rsid w:val="007F44DB"/>
    <w:rsid w:val="007F5A8B"/>
    <w:rsid w:val="00802B2D"/>
    <w:rsid w:val="0081745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25D"/>
    <w:rsid w:val="008545EB"/>
    <w:rsid w:val="0085464C"/>
    <w:rsid w:val="008578F9"/>
    <w:rsid w:val="008645CA"/>
    <w:rsid w:val="00865011"/>
    <w:rsid w:val="00880DF5"/>
    <w:rsid w:val="00886790"/>
    <w:rsid w:val="008908DE"/>
    <w:rsid w:val="008A12ED"/>
    <w:rsid w:val="008A21A3"/>
    <w:rsid w:val="008A39D3"/>
    <w:rsid w:val="008B2C77"/>
    <w:rsid w:val="008B4AD2"/>
    <w:rsid w:val="008B60BF"/>
    <w:rsid w:val="008B7138"/>
    <w:rsid w:val="008C5529"/>
    <w:rsid w:val="008D6CB9"/>
    <w:rsid w:val="008E260C"/>
    <w:rsid w:val="008E39B1"/>
    <w:rsid w:val="008E39BE"/>
    <w:rsid w:val="008E62EC"/>
    <w:rsid w:val="008F0FC5"/>
    <w:rsid w:val="008F32F6"/>
    <w:rsid w:val="008F3B19"/>
    <w:rsid w:val="009151E5"/>
    <w:rsid w:val="00916CD7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D9E"/>
    <w:rsid w:val="00987838"/>
    <w:rsid w:val="00994A5A"/>
    <w:rsid w:val="009A5900"/>
    <w:rsid w:val="009A6E6C"/>
    <w:rsid w:val="009A6F3F"/>
    <w:rsid w:val="009B331A"/>
    <w:rsid w:val="009C2650"/>
    <w:rsid w:val="009D15E2"/>
    <w:rsid w:val="009D15FE"/>
    <w:rsid w:val="009D5D2C"/>
    <w:rsid w:val="009E2C9B"/>
    <w:rsid w:val="009F0DCC"/>
    <w:rsid w:val="009F11CA"/>
    <w:rsid w:val="00A0695B"/>
    <w:rsid w:val="00A076CF"/>
    <w:rsid w:val="00A07E6D"/>
    <w:rsid w:val="00A13052"/>
    <w:rsid w:val="00A216A8"/>
    <w:rsid w:val="00A223A6"/>
    <w:rsid w:val="00A24C6C"/>
    <w:rsid w:val="00A27528"/>
    <w:rsid w:val="00A353EF"/>
    <w:rsid w:val="00A3639E"/>
    <w:rsid w:val="00A3791B"/>
    <w:rsid w:val="00A43CED"/>
    <w:rsid w:val="00A5092E"/>
    <w:rsid w:val="00A554D6"/>
    <w:rsid w:val="00A56E14"/>
    <w:rsid w:val="00A62A14"/>
    <w:rsid w:val="00A6476B"/>
    <w:rsid w:val="00A6606E"/>
    <w:rsid w:val="00A76C6C"/>
    <w:rsid w:val="00A77B8D"/>
    <w:rsid w:val="00A87356"/>
    <w:rsid w:val="00A90EF8"/>
    <w:rsid w:val="00A92DD1"/>
    <w:rsid w:val="00A963A0"/>
    <w:rsid w:val="00AA3AB2"/>
    <w:rsid w:val="00AA5338"/>
    <w:rsid w:val="00AA6E5B"/>
    <w:rsid w:val="00AB1B8E"/>
    <w:rsid w:val="00AB3226"/>
    <w:rsid w:val="00AC0696"/>
    <w:rsid w:val="00AC4C98"/>
    <w:rsid w:val="00AC5F6B"/>
    <w:rsid w:val="00AD3896"/>
    <w:rsid w:val="00AD5B47"/>
    <w:rsid w:val="00AD6755"/>
    <w:rsid w:val="00AD75CD"/>
    <w:rsid w:val="00AE1D7E"/>
    <w:rsid w:val="00AE1ED9"/>
    <w:rsid w:val="00AE32CB"/>
    <w:rsid w:val="00AF3957"/>
    <w:rsid w:val="00AF441D"/>
    <w:rsid w:val="00B010F4"/>
    <w:rsid w:val="00B07793"/>
    <w:rsid w:val="00B07A2A"/>
    <w:rsid w:val="00B12013"/>
    <w:rsid w:val="00B22505"/>
    <w:rsid w:val="00B22C67"/>
    <w:rsid w:val="00B33CDE"/>
    <w:rsid w:val="00B3508F"/>
    <w:rsid w:val="00B443EE"/>
    <w:rsid w:val="00B560C8"/>
    <w:rsid w:val="00B61150"/>
    <w:rsid w:val="00B65BC7"/>
    <w:rsid w:val="00B746B9"/>
    <w:rsid w:val="00B848D4"/>
    <w:rsid w:val="00B865B7"/>
    <w:rsid w:val="00B963CD"/>
    <w:rsid w:val="00BA1CB1"/>
    <w:rsid w:val="00BA4178"/>
    <w:rsid w:val="00BA482D"/>
    <w:rsid w:val="00BB1755"/>
    <w:rsid w:val="00BB23F4"/>
    <w:rsid w:val="00BB297F"/>
    <w:rsid w:val="00BC5075"/>
    <w:rsid w:val="00BC5419"/>
    <w:rsid w:val="00BD1FA2"/>
    <w:rsid w:val="00BD3B0F"/>
    <w:rsid w:val="00BE45D9"/>
    <w:rsid w:val="00BF011C"/>
    <w:rsid w:val="00BF1D4C"/>
    <w:rsid w:val="00BF3F0A"/>
    <w:rsid w:val="00C01CF4"/>
    <w:rsid w:val="00C0454C"/>
    <w:rsid w:val="00C143C3"/>
    <w:rsid w:val="00C1739B"/>
    <w:rsid w:val="00C21ADE"/>
    <w:rsid w:val="00C26067"/>
    <w:rsid w:val="00C30A29"/>
    <w:rsid w:val="00C317DC"/>
    <w:rsid w:val="00C5296F"/>
    <w:rsid w:val="00C574F3"/>
    <w:rsid w:val="00C578E9"/>
    <w:rsid w:val="00C70626"/>
    <w:rsid w:val="00C72860"/>
    <w:rsid w:val="00C73582"/>
    <w:rsid w:val="00C73B90"/>
    <w:rsid w:val="00C742EC"/>
    <w:rsid w:val="00C81A3E"/>
    <w:rsid w:val="00C86F1E"/>
    <w:rsid w:val="00C92FB1"/>
    <w:rsid w:val="00C96AF3"/>
    <w:rsid w:val="00C97CCC"/>
    <w:rsid w:val="00CA0274"/>
    <w:rsid w:val="00CA0A53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54530"/>
    <w:rsid w:val="00D54C76"/>
    <w:rsid w:val="00D65432"/>
    <w:rsid w:val="00D716E8"/>
    <w:rsid w:val="00D71E43"/>
    <w:rsid w:val="00D727F3"/>
    <w:rsid w:val="00D73695"/>
    <w:rsid w:val="00D809DC"/>
    <w:rsid w:val="00D810DE"/>
    <w:rsid w:val="00D87D32"/>
    <w:rsid w:val="00D91188"/>
    <w:rsid w:val="00D92C83"/>
    <w:rsid w:val="00DA0A81"/>
    <w:rsid w:val="00DA2ADE"/>
    <w:rsid w:val="00DA3C10"/>
    <w:rsid w:val="00DA53B5"/>
    <w:rsid w:val="00DB6695"/>
    <w:rsid w:val="00DC1D69"/>
    <w:rsid w:val="00DC5A3A"/>
    <w:rsid w:val="00DD0726"/>
    <w:rsid w:val="00DF4F50"/>
    <w:rsid w:val="00DF79B5"/>
    <w:rsid w:val="00E0162C"/>
    <w:rsid w:val="00E238E6"/>
    <w:rsid w:val="00E35064"/>
    <w:rsid w:val="00E3681D"/>
    <w:rsid w:val="00E40225"/>
    <w:rsid w:val="00E501F0"/>
    <w:rsid w:val="00E53F5A"/>
    <w:rsid w:val="00E557F0"/>
    <w:rsid w:val="00E6166D"/>
    <w:rsid w:val="00E61C2B"/>
    <w:rsid w:val="00E71E2E"/>
    <w:rsid w:val="00E8205E"/>
    <w:rsid w:val="00E91BFF"/>
    <w:rsid w:val="00E92933"/>
    <w:rsid w:val="00E94FAD"/>
    <w:rsid w:val="00EB0AA4"/>
    <w:rsid w:val="00EB5C88"/>
    <w:rsid w:val="00EC0469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FF2"/>
    <w:rsid w:val="00F438FC"/>
    <w:rsid w:val="00F5616F"/>
    <w:rsid w:val="00F56451"/>
    <w:rsid w:val="00F56827"/>
    <w:rsid w:val="00F61FB0"/>
    <w:rsid w:val="00F62866"/>
    <w:rsid w:val="00F65EF0"/>
    <w:rsid w:val="00F66189"/>
    <w:rsid w:val="00F707E5"/>
    <w:rsid w:val="00F71651"/>
    <w:rsid w:val="00F76191"/>
    <w:rsid w:val="00F76CC6"/>
    <w:rsid w:val="00F83D7C"/>
    <w:rsid w:val="00FB232E"/>
    <w:rsid w:val="00FD557D"/>
    <w:rsid w:val="00FE0282"/>
    <w:rsid w:val="00FE124D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72D0-B9BC-496C-B684-43E38BB2820E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81ABC-ECE8-426F-AE8C-BF846A02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7367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2</cp:revision>
  <cp:lastPrinted>2016-05-27T05:21:00Z</cp:lastPrinted>
  <dcterms:created xsi:type="dcterms:W3CDTF">2020-04-02T06:53:00Z</dcterms:created>
  <dcterms:modified xsi:type="dcterms:W3CDTF">2020-04-02T06:53:00Z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