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A6B2" w14:textId="77777777" w:rsidR="000E25E6" w:rsidRDefault="000E25E6" w:rsidP="00FD557D">
      <w:pPr>
        <w:pStyle w:val="SIHeading2"/>
      </w:pPr>
      <w:bookmarkStart w:id="0" w:name="_GoBack"/>
      <w:bookmarkEnd w:id="0"/>
    </w:p>
    <w:p w14:paraId="56F5DD7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D2D0BB9" w14:textId="77777777" w:rsidTr="00146EEC">
        <w:tc>
          <w:tcPr>
            <w:tcW w:w="2689" w:type="dxa"/>
          </w:tcPr>
          <w:p w14:paraId="313F267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B4124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10B7B" w14:paraId="62FDC044" w14:textId="77777777" w:rsidTr="00605888">
        <w:tc>
          <w:tcPr>
            <w:tcW w:w="2689" w:type="dxa"/>
          </w:tcPr>
          <w:p w14:paraId="62801D42" w14:textId="77777777" w:rsidR="00E10B7B" w:rsidRPr="00E10B7B" w:rsidRDefault="00E10B7B" w:rsidP="00E10B7B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7EF50DB" w14:textId="77777777" w:rsidR="00E10B7B" w:rsidRPr="00E10B7B" w:rsidRDefault="00E10B7B" w:rsidP="00E10B7B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E10B7B">
              <w:t>5.0.</w:t>
            </w:r>
          </w:p>
        </w:tc>
      </w:tr>
      <w:tr w:rsidR="00F1480E" w14:paraId="105AA811" w14:textId="77777777" w:rsidTr="00146EEC">
        <w:tc>
          <w:tcPr>
            <w:tcW w:w="2689" w:type="dxa"/>
          </w:tcPr>
          <w:p w14:paraId="04279652" w14:textId="73E6DBD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DBE80A8" w14:textId="0C6962B0" w:rsidR="00F1480E" w:rsidRPr="00F64E35" w:rsidRDefault="00F64E35" w:rsidP="00F64E35">
            <w:pPr>
              <w:pStyle w:val="SIText"/>
            </w:pPr>
            <w:r w:rsidRPr="00F64E35">
              <w:t>Initial release</w:t>
            </w:r>
          </w:p>
        </w:tc>
      </w:tr>
    </w:tbl>
    <w:p w14:paraId="00EE51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CD801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1BB1245" w14:textId="1AC6D706" w:rsidR="00F1480E" w:rsidRPr="000754EC" w:rsidRDefault="00705780" w:rsidP="000754EC">
            <w:pPr>
              <w:pStyle w:val="SIUNITCODE"/>
            </w:pPr>
            <w:r w:rsidRPr="00705780">
              <w:t>AHCMER303</w:t>
            </w:r>
          </w:p>
        </w:tc>
        <w:tc>
          <w:tcPr>
            <w:tcW w:w="3604" w:type="pct"/>
            <w:shd w:val="clear" w:color="auto" w:fill="auto"/>
          </w:tcPr>
          <w:p w14:paraId="10B8B391" w14:textId="32B08A81" w:rsidR="00F1480E" w:rsidRPr="000754EC" w:rsidRDefault="00705780" w:rsidP="000754EC">
            <w:pPr>
              <w:pStyle w:val="SIUnittitle"/>
            </w:pPr>
            <w:r w:rsidRPr="00705780">
              <w:t>Sell products and services</w:t>
            </w:r>
          </w:p>
        </w:tc>
      </w:tr>
      <w:tr w:rsidR="00F1480E" w:rsidRPr="00963A46" w14:paraId="3BCEB789" w14:textId="77777777" w:rsidTr="00CA2922">
        <w:tc>
          <w:tcPr>
            <w:tcW w:w="1396" w:type="pct"/>
            <w:shd w:val="clear" w:color="auto" w:fill="auto"/>
          </w:tcPr>
          <w:p w14:paraId="1EB7D7F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DE4B78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E9347A" w14:textId="07244515" w:rsidR="00E23BA7" w:rsidRPr="00E23BA7" w:rsidRDefault="00E23BA7" w:rsidP="00E23BA7">
            <w:pPr>
              <w:pStyle w:val="SIText"/>
            </w:pPr>
            <w:r w:rsidRPr="00E23BA7">
              <w:t xml:space="preserve">This unit of competency describes the skills and knowledge required to </w:t>
            </w:r>
            <w:r w:rsidR="00E10B7B">
              <w:t xml:space="preserve">engage the customer, and </w:t>
            </w:r>
            <w:r w:rsidRPr="00E23BA7">
              <w:t xml:space="preserve">sell </w:t>
            </w:r>
            <w:r w:rsidR="00E10B7B">
              <w:t xml:space="preserve">and maintain </w:t>
            </w:r>
            <w:r w:rsidRPr="00E23BA7">
              <w:t>products and services.</w:t>
            </w:r>
          </w:p>
          <w:p w14:paraId="3C94FD0B" w14:textId="77777777" w:rsidR="00E23BA7" w:rsidRPr="00E23BA7" w:rsidRDefault="00E23BA7" w:rsidP="00E23BA7">
            <w:pPr>
              <w:pStyle w:val="SIText"/>
            </w:pPr>
          </w:p>
          <w:p w14:paraId="3ABC769F" w14:textId="4E78325A" w:rsidR="00E23BA7" w:rsidRPr="00E23BA7" w:rsidRDefault="00E23BA7" w:rsidP="00E23BA7">
            <w:pPr>
              <w:pStyle w:val="SIText"/>
            </w:pPr>
            <w:r w:rsidRPr="00E23BA7">
              <w:t xml:space="preserve">This unit applies to individuals who </w:t>
            </w:r>
            <w:r w:rsidR="00E10B7B">
              <w:t>sell products and services</w:t>
            </w:r>
            <w:r w:rsidRPr="00E23BA7">
              <w:t xml:space="preserve"> under broad direction and </w:t>
            </w:r>
            <w:r w:rsidR="00E10B7B">
              <w:t>take responsibility for their own work</w:t>
            </w:r>
            <w:r w:rsidRPr="00E23BA7">
              <w:t>.</w:t>
            </w:r>
          </w:p>
          <w:p w14:paraId="6B1F939E" w14:textId="77777777" w:rsidR="00E23BA7" w:rsidRDefault="00E23BA7" w:rsidP="00E23BA7">
            <w:pPr>
              <w:pStyle w:val="SIText"/>
            </w:pPr>
          </w:p>
          <w:p w14:paraId="3B3C01CD" w14:textId="77777777" w:rsidR="00E10B7B" w:rsidRPr="00E10B7B" w:rsidRDefault="00E10B7B" w:rsidP="00E10B7B">
            <w:pPr>
              <w:pStyle w:val="SIText"/>
            </w:pPr>
            <w:r w:rsidRPr="00777E34">
              <w:t xml:space="preserve">All work must be carried out to comply with workplace procedures, </w:t>
            </w:r>
            <w:r w:rsidRPr="00E10B7B">
              <w:t>health and safety in the workplace requirements, legislative and regulatory requirements.</w:t>
            </w:r>
          </w:p>
          <w:p w14:paraId="25BC1345" w14:textId="77777777" w:rsidR="00E10B7B" w:rsidRPr="00E23BA7" w:rsidRDefault="00E10B7B" w:rsidP="00E23BA7">
            <w:pPr>
              <w:pStyle w:val="SIText"/>
            </w:pPr>
          </w:p>
          <w:p w14:paraId="645F6C68" w14:textId="356EF6C8" w:rsidR="00373436" w:rsidRPr="000754EC" w:rsidRDefault="00E23BA7" w:rsidP="00E23BA7">
            <w:pPr>
              <w:pStyle w:val="SIText"/>
            </w:pPr>
            <w:r w:rsidRPr="00E23BA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BBD9DF1" w14:textId="77777777" w:rsidTr="00CA2922">
        <w:tc>
          <w:tcPr>
            <w:tcW w:w="1396" w:type="pct"/>
            <w:shd w:val="clear" w:color="auto" w:fill="auto"/>
          </w:tcPr>
          <w:p w14:paraId="0463CFE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2A7455" w14:textId="19DE61A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DF71313" w14:textId="77777777" w:rsidTr="00CA2922">
        <w:tc>
          <w:tcPr>
            <w:tcW w:w="1396" w:type="pct"/>
            <w:shd w:val="clear" w:color="auto" w:fill="auto"/>
          </w:tcPr>
          <w:p w14:paraId="6461282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E4F2979" w14:textId="03D8D03B" w:rsidR="00F1480E" w:rsidRPr="0091260B" w:rsidRDefault="0091260B" w:rsidP="0091260B">
            <w:pPr>
              <w:pStyle w:val="SIText"/>
            </w:pPr>
            <w:r w:rsidRPr="0091260B">
              <w:t>Merchandising and Sales (MER)</w:t>
            </w:r>
          </w:p>
        </w:tc>
      </w:tr>
    </w:tbl>
    <w:p w14:paraId="4AA38D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010A5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F6AF56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5560B6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1BA22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FF5C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40753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4A2B" w:rsidRPr="00963A46" w14:paraId="3D6511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27A827" w14:textId="7D6CCCE1" w:rsidR="00784A2B" w:rsidRPr="00784A2B" w:rsidRDefault="00784A2B" w:rsidP="009224FC">
            <w:pPr>
              <w:pStyle w:val="SIText"/>
            </w:pPr>
            <w:r w:rsidRPr="00784A2B">
              <w:t>1. E</w:t>
            </w:r>
            <w:r w:rsidR="009224FC">
              <w:t xml:space="preserve">stablish </w:t>
            </w:r>
            <w:r w:rsidRPr="00784A2B">
              <w:t>customer</w:t>
            </w:r>
            <w:r w:rsidR="009224FC">
              <w:t xml:space="preserve"> needs</w:t>
            </w:r>
          </w:p>
        </w:tc>
        <w:tc>
          <w:tcPr>
            <w:tcW w:w="3604" w:type="pct"/>
            <w:shd w:val="clear" w:color="auto" w:fill="auto"/>
          </w:tcPr>
          <w:p w14:paraId="4DA268A3" w14:textId="77777777" w:rsidR="00784A2B" w:rsidRPr="00784A2B" w:rsidRDefault="00784A2B" w:rsidP="00784A2B">
            <w:pPr>
              <w:pStyle w:val="SIText"/>
            </w:pPr>
            <w:r w:rsidRPr="00784A2B">
              <w:t>1.1 Approach customer in a timely and professional manner</w:t>
            </w:r>
          </w:p>
          <w:p w14:paraId="6A9509A8" w14:textId="77777777" w:rsidR="00784A2B" w:rsidRPr="00784A2B" w:rsidRDefault="00784A2B" w:rsidP="00784A2B">
            <w:pPr>
              <w:pStyle w:val="SIText"/>
            </w:pPr>
            <w:r w:rsidRPr="00784A2B">
              <w:t>1.2 Use interpersonal skills to engage customer</w:t>
            </w:r>
          </w:p>
          <w:p w14:paraId="72A06711" w14:textId="77777777" w:rsidR="00784A2B" w:rsidRPr="00784A2B" w:rsidRDefault="00784A2B" w:rsidP="00784A2B">
            <w:pPr>
              <w:pStyle w:val="SIText"/>
            </w:pPr>
            <w:r w:rsidRPr="00784A2B">
              <w:t>1.3 Present customers with purchase options that address their needs and assist to identify their preferred option</w:t>
            </w:r>
          </w:p>
          <w:p w14:paraId="777ACF06" w14:textId="0532A8C3" w:rsidR="00784A2B" w:rsidRPr="00784A2B" w:rsidRDefault="00784A2B" w:rsidP="00F97CAE">
            <w:pPr>
              <w:pStyle w:val="SIText"/>
            </w:pPr>
            <w:r w:rsidRPr="00784A2B">
              <w:t>1.4 Identify personal</w:t>
            </w:r>
            <w:r w:rsidR="00E10B7B">
              <w:t>,</w:t>
            </w:r>
            <w:r w:rsidRPr="00784A2B">
              <w:t xml:space="preserve"> professional and leg</w:t>
            </w:r>
            <w:r w:rsidR="00F97CAE">
              <w:t>islative requirements</w:t>
            </w:r>
            <w:r w:rsidRPr="00784A2B">
              <w:t xml:space="preserve"> in addressing customer needs and seek assistance from appropriate personnel</w:t>
            </w:r>
          </w:p>
        </w:tc>
      </w:tr>
      <w:tr w:rsidR="00784A2B" w:rsidRPr="00963A46" w14:paraId="10B121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552450" w14:textId="789A886D" w:rsidR="00784A2B" w:rsidRPr="00784A2B" w:rsidRDefault="00784A2B" w:rsidP="00784A2B">
            <w:pPr>
              <w:pStyle w:val="SIText"/>
            </w:pPr>
            <w:r w:rsidRPr="00784A2B">
              <w:t>2. Sell products and services</w:t>
            </w:r>
          </w:p>
        </w:tc>
        <w:tc>
          <w:tcPr>
            <w:tcW w:w="3604" w:type="pct"/>
            <w:shd w:val="clear" w:color="auto" w:fill="auto"/>
          </w:tcPr>
          <w:p w14:paraId="10593CB3" w14:textId="77777777" w:rsidR="00784A2B" w:rsidRPr="00784A2B" w:rsidRDefault="00784A2B" w:rsidP="00784A2B">
            <w:pPr>
              <w:pStyle w:val="SIText"/>
            </w:pPr>
            <w:r w:rsidRPr="00784A2B">
              <w:t>2.1 Determine prices and quotations on the advice of appropriate personnel and provide to customer</w:t>
            </w:r>
          </w:p>
          <w:p w14:paraId="4A7A68C2" w14:textId="77777777" w:rsidR="00784A2B" w:rsidRPr="00784A2B" w:rsidRDefault="00784A2B" w:rsidP="00784A2B">
            <w:pPr>
              <w:pStyle w:val="SIText"/>
            </w:pPr>
            <w:r w:rsidRPr="00784A2B">
              <w:t>2.2 Complete sales to maximise potential for customer satisfaction</w:t>
            </w:r>
          </w:p>
          <w:p w14:paraId="31C5EA0F" w14:textId="5511AA20" w:rsidR="00784A2B" w:rsidRPr="00784A2B" w:rsidRDefault="00784A2B" w:rsidP="00784A2B">
            <w:pPr>
              <w:pStyle w:val="SIText"/>
            </w:pPr>
            <w:r w:rsidRPr="00784A2B">
              <w:t>2.3 Identify and respond to opportunities for up selling and repeat sales</w:t>
            </w:r>
          </w:p>
        </w:tc>
      </w:tr>
      <w:tr w:rsidR="00784A2B" w:rsidRPr="00963A46" w14:paraId="0F37362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53CD56" w14:textId="51FCCEFF" w:rsidR="00784A2B" w:rsidRPr="00784A2B" w:rsidRDefault="00784A2B">
            <w:pPr>
              <w:pStyle w:val="SIText"/>
            </w:pPr>
            <w:r w:rsidRPr="00784A2B">
              <w:t xml:space="preserve">3. </w:t>
            </w:r>
            <w:r w:rsidR="009224FC">
              <w:t>Store and m</w:t>
            </w:r>
            <w:r w:rsidRPr="00784A2B">
              <w:t>aintain products</w:t>
            </w:r>
          </w:p>
        </w:tc>
        <w:tc>
          <w:tcPr>
            <w:tcW w:w="3604" w:type="pct"/>
            <w:shd w:val="clear" w:color="auto" w:fill="auto"/>
          </w:tcPr>
          <w:p w14:paraId="7882B1A4" w14:textId="77777777" w:rsidR="00784A2B" w:rsidRPr="00784A2B" w:rsidRDefault="00784A2B" w:rsidP="00784A2B">
            <w:pPr>
              <w:pStyle w:val="SIText"/>
            </w:pPr>
            <w:r w:rsidRPr="00784A2B">
              <w:t>3.1 Handle and store products safely and efficiently</w:t>
            </w:r>
          </w:p>
          <w:p w14:paraId="48E5D4CB" w14:textId="05ED104F" w:rsidR="00784A2B" w:rsidRPr="00784A2B" w:rsidRDefault="00784A2B" w:rsidP="00784A2B">
            <w:pPr>
              <w:pStyle w:val="SIText"/>
            </w:pPr>
            <w:r w:rsidRPr="00784A2B">
              <w:t xml:space="preserve">3.2 Complete </w:t>
            </w:r>
            <w:r w:rsidR="00881E5F">
              <w:t xml:space="preserve">sales </w:t>
            </w:r>
            <w:r w:rsidRPr="00784A2B">
              <w:t>documentation and reorder</w:t>
            </w:r>
            <w:r w:rsidR="00881E5F">
              <w:t xml:space="preserve"> products</w:t>
            </w:r>
          </w:p>
          <w:p w14:paraId="0CC8D244" w14:textId="34213F19" w:rsidR="00784A2B" w:rsidRPr="00784A2B" w:rsidRDefault="00784A2B" w:rsidP="00784A2B">
            <w:pPr>
              <w:pStyle w:val="SIText"/>
            </w:pPr>
            <w:r w:rsidRPr="00784A2B">
              <w:t>3.3 Review sales techniques to enhance future sales results</w:t>
            </w:r>
          </w:p>
        </w:tc>
      </w:tr>
    </w:tbl>
    <w:p w14:paraId="54242A2D" w14:textId="77777777" w:rsidR="005F771F" w:rsidRDefault="005F771F" w:rsidP="005F771F">
      <w:pPr>
        <w:pStyle w:val="SIText"/>
      </w:pPr>
    </w:p>
    <w:p w14:paraId="0A72D98E" w14:textId="77777777" w:rsidR="005F771F" w:rsidRPr="000754EC" w:rsidRDefault="005F771F" w:rsidP="000754EC">
      <w:r>
        <w:br w:type="page"/>
      </w:r>
    </w:p>
    <w:p w14:paraId="7310C63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533A139" w14:textId="77777777" w:rsidTr="00CA2922">
        <w:trPr>
          <w:tblHeader/>
        </w:trPr>
        <w:tc>
          <w:tcPr>
            <w:tcW w:w="5000" w:type="pct"/>
            <w:gridSpan w:val="2"/>
          </w:tcPr>
          <w:p w14:paraId="6592386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8B89D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4D6DCF1" w14:textId="77777777" w:rsidTr="00CA2922">
        <w:trPr>
          <w:tblHeader/>
        </w:trPr>
        <w:tc>
          <w:tcPr>
            <w:tcW w:w="1396" w:type="pct"/>
          </w:tcPr>
          <w:p w14:paraId="68BCD04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E9067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10B7B" w:rsidRPr="00336FCA" w:rsidDel="00423CB2" w14:paraId="71D28FDF" w14:textId="77777777" w:rsidTr="00CA2922">
        <w:tc>
          <w:tcPr>
            <w:tcW w:w="1396" w:type="pct"/>
          </w:tcPr>
          <w:p w14:paraId="71E6F4B2" w14:textId="72974E09" w:rsidR="00E10B7B" w:rsidRPr="00E10B7B" w:rsidRDefault="00E10B7B" w:rsidP="00E10B7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32DDF0B" w14:textId="7EFA957D" w:rsidR="00E10B7B" w:rsidRPr="00E10B7B" w:rsidRDefault="00E10B7B" w:rsidP="00E10B7B">
            <w:pPr>
              <w:pStyle w:val="SIBulletList1"/>
            </w:pPr>
            <w:r>
              <w:t xml:space="preserve">Interpret textual information from a range of sources to </w:t>
            </w:r>
            <w:r w:rsidRPr="00E10B7B">
              <w:t>identify relevant and key information about leg</w:t>
            </w:r>
            <w:r w:rsidR="00F97CAE">
              <w:t>islative requirements</w:t>
            </w:r>
          </w:p>
        </w:tc>
      </w:tr>
      <w:tr w:rsidR="00E10B7B" w:rsidRPr="00336FCA" w:rsidDel="00423CB2" w14:paraId="16E79B9E" w14:textId="77777777" w:rsidTr="00CA2922">
        <w:tc>
          <w:tcPr>
            <w:tcW w:w="1396" w:type="pct"/>
          </w:tcPr>
          <w:p w14:paraId="35E646EA" w14:textId="6E45E407" w:rsidR="00E10B7B" w:rsidRPr="00E10B7B" w:rsidRDefault="00E10B7B" w:rsidP="00E10B7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1C17D10" w14:textId="665EEA64" w:rsidR="00E10B7B" w:rsidRPr="00E10B7B" w:rsidRDefault="00E10B7B" w:rsidP="00E10B7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Record </w:t>
            </w:r>
            <w:r w:rsidRPr="00E43F47">
              <w:rPr>
                <w:rFonts w:eastAsia="Calibri"/>
              </w:rPr>
              <w:t>sales and product reordering</w:t>
            </w:r>
          </w:p>
        </w:tc>
      </w:tr>
      <w:tr w:rsidR="00E10B7B" w:rsidRPr="00336FCA" w:rsidDel="00423CB2" w14:paraId="175DCDFC" w14:textId="77777777" w:rsidTr="00CA2922">
        <w:tc>
          <w:tcPr>
            <w:tcW w:w="1396" w:type="pct"/>
          </w:tcPr>
          <w:p w14:paraId="4E49B6D8" w14:textId="21DC5D08" w:rsidR="00E10B7B" w:rsidRPr="00E10B7B" w:rsidRDefault="00E10B7B" w:rsidP="00E10B7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1FD7702" w14:textId="731FAD76" w:rsidR="00E10B7B" w:rsidRPr="00E10B7B" w:rsidRDefault="00E10B7B" w:rsidP="00E10B7B">
            <w:pPr>
              <w:pStyle w:val="SIBulletList1"/>
              <w:rPr>
                <w:rFonts w:eastAsia="Calibri"/>
              </w:rPr>
            </w:pPr>
            <w:r w:rsidRPr="00E10B7B">
              <w:rPr>
                <w:rFonts w:eastAsia="Calibri"/>
              </w:rPr>
              <w:t xml:space="preserve">Use clear language with customer to gather information and confirm </w:t>
            </w:r>
            <w:r>
              <w:rPr>
                <w:rFonts w:eastAsia="Calibri"/>
              </w:rPr>
              <w:t>customer needs</w:t>
            </w:r>
          </w:p>
          <w:p w14:paraId="5C3C7B94" w14:textId="6CD4F325" w:rsidR="00E10B7B" w:rsidRPr="00E10B7B" w:rsidRDefault="00E10B7B" w:rsidP="00E10B7B">
            <w:pPr>
              <w:pStyle w:val="SIBulletList1"/>
              <w:rPr>
                <w:rFonts w:eastAsia="Calibri"/>
              </w:rPr>
            </w:pPr>
            <w:r w:rsidRPr="00E10B7B">
              <w:rPr>
                <w:rFonts w:eastAsia="Calibri"/>
              </w:rPr>
              <w:t xml:space="preserve">Initiate discussions with appropriate personnel, using clear language to </w:t>
            </w:r>
            <w:r>
              <w:rPr>
                <w:rFonts w:eastAsia="Calibri"/>
              </w:rPr>
              <w:t>seek sales assistance</w:t>
            </w:r>
          </w:p>
        </w:tc>
      </w:tr>
    </w:tbl>
    <w:p w14:paraId="04B401A2" w14:textId="77777777" w:rsidR="00916CD7" w:rsidRDefault="00916CD7" w:rsidP="005F771F">
      <w:pPr>
        <w:pStyle w:val="SIText"/>
      </w:pPr>
    </w:p>
    <w:p w14:paraId="679E38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150FD1" w14:textId="77777777" w:rsidTr="00F33FF2">
        <w:tc>
          <w:tcPr>
            <w:tcW w:w="5000" w:type="pct"/>
            <w:gridSpan w:val="4"/>
          </w:tcPr>
          <w:p w14:paraId="3BEF1C1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80DC292" w14:textId="77777777" w:rsidTr="00F33FF2">
        <w:tc>
          <w:tcPr>
            <w:tcW w:w="1028" w:type="pct"/>
          </w:tcPr>
          <w:p w14:paraId="460CBBF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94A46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E753A1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243A4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B1AF2" w14:paraId="45260EB8" w14:textId="77777777" w:rsidTr="00F33FF2">
        <w:tc>
          <w:tcPr>
            <w:tcW w:w="1028" w:type="pct"/>
          </w:tcPr>
          <w:p w14:paraId="3BC5E152" w14:textId="77777777" w:rsidR="008B1AF2" w:rsidRPr="008B1AF2" w:rsidRDefault="008B1AF2" w:rsidP="008B1AF2">
            <w:pPr>
              <w:pStyle w:val="SIText"/>
            </w:pPr>
            <w:r w:rsidRPr="00705780">
              <w:t>AHCMER303 Sell products and services</w:t>
            </w:r>
          </w:p>
          <w:p w14:paraId="62EE17BB" w14:textId="3161E0DB" w:rsidR="008B1AF2" w:rsidRPr="008B1AF2" w:rsidRDefault="008B1AF2" w:rsidP="008B1AF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67705F4" w14:textId="4080D0EC" w:rsidR="008B1AF2" w:rsidRPr="008B1AF2" w:rsidRDefault="008B1AF2" w:rsidP="008B1AF2">
            <w:pPr>
              <w:pStyle w:val="SIText"/>
            </w:pPr>
            <w:r w:rsidRPr="00C2472B">
              <w:t>AHCMER303</w:t>
            </w:r>
            <w:r w:rsidRPr="008B1AF2">
              <w:t xml:space="preserve"> Sell products and services</w:t>
            </w:r>
          </w:p>
          <w:p w14:paraId="63113FB7" w14:textId="7F2C5759" w:rsidR="008B1AF2" w:rsidRPr="008B1AF2" w:rsidRDefault="008B1AF2" w:rsidP="008B1AF2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08AC54E" w14:textId="77777777" w:rsidR="008B1AF2" w:rsidRPr="008B1AF2" w:rsidRDefault="008B1AF2" w:rsidP="008B1AF2">
            <w:r w:rsidRPr="008B1AF2">
              <w:rPr>
                <w:rFonts w:eastAsia="Arial"/>
              </w:rPr>
              <w:t>Performance criteria clarified</w:t>
            </w:r>
          </w:p>
          <w:p w14:paraId="56C0097E" w14:textId="77777777" w:rsidR="008B1AF2" w:rsidRPr="008B1AF2" w:rsidRDefault="008B1AF2" w:rsidP="008B1AF2">
            <w:r w:rsidRPr="008B1AF2">
              <w:rPr>
                <w:rFonts w:eastAsia="Arial"/>
              </w:rPr>
              <w:t>Foundation skills added</w:t>
            </w:r>
          </w:p>
          <w:p w14:paraId="27C64711" w14:textId="28DBB897" w:rsidR="008B1AF2" w:rsidRPr="008B1AF2" w:rsidRDefault="008B1AF2" w:rsidP="008B1AF2">
            <w:pPr>
              <w:pStyle w:val="SIText"/>
            </w:pPr>
            <w:r w:rsidRPr="008B1AF2">
              <w:rPr>
                <w:rFonts w:eastAsia="Arial"/>
              </w:rPr>
              <w:t>Assessment requirements updated</w:t>
            </w:r>
            <w:r w:rsidRPr="008B1AF2">
              <w:t xml:space="preserve"> </w:t>
            </w:r>
          </w:p>
        </w:tc>
        <w:tc>
          <w:tcPr>
            <w:tcW w:w="1616" w:type="pct"/>
          </w:tcPr>
          <w:p w14:paraId="410703B5" w14:textId="772F6EA7" w:rsidR="008B1AF2" w:rsidRPr="008B1AF2" w:rsidRDefault="008B1AF2" w:rsidP="008B1AF2">
            <w:pPr>
              <w:pStyle w:val="SIText"/>
            </w:pPr>
            <w:r w:rsidRPr="000754EC">
              <w:t>Equivalent unit</w:t>
            </w:r>
          </w:p>
        </w:tc>
      </w:tr>
    </w:tbl>
    <w:p w14:paraId="600F8C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31C6911" w14:textId="77777777" w:rsidTr="00CA2922">
        <w:tc>
          <w:tcPr>
            <w:tcW w:w="1396" w:type="pct"/>
            <w:shd w:val="clear" w:color="auto" w:fill="auto"/>
          </w:tcPr>
          <w:p w14:paraId="4F7F74F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5FFA91" w14:textId="10453DF1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E10B7B" w:rsidRPr="00D86819">
                <w:t>https://vetnet.education.gov.au/Pages/TrainingDocs.aspx?q=c6399549-9c62-4a5e-bf1a-524b2322cf72</w:t>
              </w:r>
            </w:hyperlink>
          </w:p>
        </w:tc>
      </w:tr>
    </w:tbl>
    <w:p w14:paraId="13F7633B" w14:textId="77777777" w:rsidR="00F1480E" w:rsidRDefault="00F1480E" w:rsidP="005F771F">
      <w:pPr>
        <w:pStyle w:val="SIText"/>
      </w:pPr>
    </w:p>
    <w:p w14:paraId="14A68EC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93CB00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4C1031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B9FB703" w14:textId="2EBE406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05780" w:rsidRPr="00705780">
              <w:t>AHCMER303 Sell products and services</w:t>
            </w:r>
          </w:p>
        </w:tc>
      </w:tr>
      <w:tr w:rsidR="00556C4C" w:rsidRPr="00A55106" w14:paraId="5CFC499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39D0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6098A0D" w14:textId="77777777" w:rsidTr="00113678">
        <w:tc>
          <w:tcPr>
            <w:tcW w:w="5000" w:type="pct"/>
            <w:gridSpan w:val="2"/>
            <w:shd w:val="clear" w:color="auto" w:fill="auto"/>
          </w:tcPr>
          <w:p w14:paraId="55A122B7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1BDAB09" w14:textId="77777777" w:rsidR="0026394F" w:rsidRDefault="0026394F" w:rsidP="00E40225">
            <w:pPr>
              <w:pStyle w:val="SIText"/>
            </w:pPr>
          </w:p>
          <w:p w14:paraId="3BF7A2D5" w14:textId="515A65A2" w:rsidR="00E10B7B" w:rsidRPr="00E10B7B" w:rsidRDefault="00E10B7B" w:rsidP="00E10B7B">
            <w:pPr>
              <w:pStyle w:val="SIText"/>
            </w:pPr>
            <w:r w:rsidRPr="005A15FE">
              <w:t>The</w:t>
            </w:r>
            <w:r w:rsidRPr="00E10B7B">
              <w:t xml:space="preserve">re must be evidence that the individual has </w:t>
            </w:r>
            <w:r>
              <w:t>sold products and services</w:t>
            </w:r>
            <w:r w:rsidRPr="00E10B7B">
              <w:t xml:space="preserve"> on at least three occasions and has:</w:t>
            </w:r>
          </w:p>
          <w:p w14:paraId="5BBDFE87" w14:textId="13F9C8F7" w:rsidR="004B4F2A" w:rsidRPr="004B4F2A" w:rsidRDefault="004B4F2A" w:rsidP="004B4F2A">
            <w:pPr>
              <w:pStyle w:val="SIBulletList1"/>
            </w:pPr>
            <w:r w:rsidRPr="004B4F2A">
              <w:t>engage</w:t>
            </w:r>
            <w:r w:rsidR="00E10B7B">
              <w:t>d</w:t>
            </w:r>
            <w:r w:rsidRPr="004B4F2A">
              <w:t xml:space="preserve"> customers</w:t>
            </w:r>
          </w:p>
          <w:p w14:paraId="76357EE2" w14:textId="78E4FC7C" w:rsidR="00E43F47" w:rsidRDefault="00E10B7B" w:rsidP="004B4F2A">
            <w:pPr>
              <w:pStyle w:val="SIBulletList1"/>
            </w:pPr>
            <w:r w:rsidRPr="000C450A">
              <w:t>appl</w:t>
            </w:r>
            <w:r w:rsidRPr="00E10B7B">
              <w:t xml:space="preserve">ied applicable </w:t>
            </w:r>
            <w:r w:rsidR="00E43F47" w:rsidRPr="004B4F2A">
              <w:t>leg</w:t>
            </w:r>
            <w:r w:rsidR="00F97CAE">
              <w:t>islative</w:t>
            </w:r>
            <w:r w:rsidR="00E43F47" w:rsidRPr="004B4F2A">
              <w:t xml:space="preserve"> requirements in sales environments, particularly </w:t>
            </w:r>
            <w:r w:rsidR="00F97CAE">
              <w:t>f</w:t>
            </w:r>
            <w:r w:rsidR="00E43F47" w:rsidRPr="004B4F2A">
              <w:t xml:space="preserve">air </w:t>
            </w:r>
            <w:r w:rsidR="00F97CAE">
              <w:t>t</w:t>
            </w:r>
            <w:r w:rsidR="00E43F47" w:rsidRPr="004B4F2A">
              <w:t xml:space="preserve">rading, </w:t>
            </w:r>
            <w:r w:rsidR="00F97CAE">
              <w:t>t</w:t>
            </w:r>
            <w:r w:rsidR="00E43F47" w:rsidRPr="004B4F2A">
              <w:t xml:space="preserve">rade </w:t>
            </w:r>
            <w:r w:rsidR="00F97CAE">
              <w:t>p</w:t>
            </w:r>
            <w:r w:rsidR="00E43F47" w:rsidRPr="004B4F2A">
              <w:t xml:space="preserve">ractices and </w:t>
            </w:r>
            <w:r w:rsidR="00F97CAE">
              <w:t>s</w:t>
            </w:r>
            <w:r w:rsidR="00E43F47" w:rsidRPr="004B4F2A">
              <w:t xml:space="preserve">ale of </w:t>
            </w:r>
            <w:r w:rsidR="00F97CAE">
              <w:t>g</w:t>
            </w:r>
            <w:r w:rsidR="00E43F47" w:rsidRPr="004B4F2A">
              <w:t>oods legislation</w:t>
            </w:r>
            <w:r w:rsidR="00E43F47">
              <w:t xml:space="preserve"> and</w:t>
            </w:r>
            <w:r w:rsidR="00E43F47" w:rsidRPr="004B4F2A">
              <w:t xml:space="preserve"> public liability</w:t>
            </w:r>
          </w:p>
          <w:p w14:paraId="4268A63B" w14:textId="1C5D9258" w:rsidR="00E10B7B" w:rsidRDefault="00E43F47" w:rsidP="004B4F2A">
            <w:pPr>
              <w:pStyle w:val="SIBulletList1"/>
            </w:pPr>
            <w:r>
              <w:t>applied</w:t>
            </w:r>
            <w:r w:rsidR="00E10B7B" w:rsidRPr="00E10B7B">
              <w:t xml:space="preserve"> workplace procedures for </w:t>
            </w:r>
            <w:r w:rsidR="00E10B7B">
              <w:t>selling products and services</w:t>
            </w:r>
          </w:p>
          <w:p w14:paraId="22DA7077" w14:textId="006966CF" w:rsidR="004B4F2A" w:rsidRPr="004B4F2A" w:rsidRDefault="004B4F2A" w:rsidP="004B4F2A">
            <w:pPr>
              <w:pStyle w:val="SIBulletList1"/>
            </w:pPr>
            <w:r w:rsidRPr="004B4F2A">
              <w:t>identif</w:t>
            </w:r>
            <w:r w:rsidR="00E10B7B">
              <w:t>ied</w:t>
            </w:r>
            <w:r w:rsidRPr="004B4F2A">
              <w:t xml:space="preserve"> the potential for a sale</w:t>
            </w:r>
          </w:p>
          <w:p w14:paraId="31193C87" w14:textId="7DAC5174" w:rsidR="004B4F2A" w:rsidRPr="004B4F2A" w:rsidRDefault="004B4F2A" w:rsidP="004B4F2A">
            <w:pPr>
              <w:pStyle w:val="SIBulletList1"/>
            </w:pPr>
            <w:r w:rsidRPr="004B4F2A">
              <w:t>present</w:t>
            </w:r>
            <w:r w:rsidR="00E10B7B">
              <w:t>ed</w:t>
            </w:r>
            <w:r w:rsidRPr="004B4F2A">
              <w:t xml:space="preserve"> purchase options to the customer</w:t>
            </w:r>
          </w:p>
          <w:p w14:paraId="3033E2D5" w14:textId="56BDBCAF" w:rsidR="004B4F2A" w:rsidRDefault="004B4F2A" w:rsidP="004B4F2A">
            <w:pPr>
              <w:pStyle w:val="SIBulletList1"/>
            </w:pPr>
            <w:r w:rsidRPr="004B4F2A">
              <w:t>provide</w:t>
            </w:r>
            <w:r w:rsidR="00E10B7B">
              <w:t>d</w:t>
            </w:r>
            <w:r w:rsidRPr="004B4F2A">
              <w:t xml:space="preserve"> quotations</w:t>
            </w:r>
          </w:p>
          <w:p w14:paraId="2A2F8466" w14:textId="4FC8E289" w:rsidR="00881E5F" w:rsidRPr="004B4F2A" w:rsidRDefault="00881E5F" w:rsidP="004B4F2A">
            <w:pPr>
              <w:pStyle w:val="SIBulletList1"/>
            </w:pPr>
            <w:r>
              <w:t>sought sales assistance from appropriate personnel where required</w:t>
            </w:r>
          </w:p>
          <w:p w14:paraId="5191CC69" w14:textId="6699D6B5" w:rsidR="004B4F2A" w:rsidRDefault="004B4F2A" w:rsidP="004B4F2A">
            <w:pPr>
              <w:pStyle w:val="SIBulletList1"/>
            </w:pPr>
            <w:r w:rsidRPr="004B4F2A">
              <w:t>complete</w:t>
            </w:r>
            <w:r w:rsidR="00E10B7B">
              <w:t>d</w:t>
            </w:r>
            <w:r w:rsidRPr="004B4F2A">
              <w:t xml:space="preserve"> sale</w:t>
            </w:r>
            <w:r w:rsidR="00E10B7B">
              <w:t>s</w:t>
            </w:r>
          </w:p>
          <w:p w14:paraId="797D850F" w14:textId="79F0E935" w:rsidR="00881E5F" w:rsidRPr="004B4F2A" w:rsidRDefault="00881E5F" w:rsidP="004B4F2A">
            <w:pPr>
              <w:pStyle w:val="SIBulletList1"/>
            </w:pPr>
            <w:r>
              <w:t>handled and stored products</w:t>
            </w:r>
          </w:p>
          <w:p w14:paraId="36F8134F" w14:textId="36CED0D9" w:rsidR="00556C4C" w:rsidRPr="000754EC" w:rsidRDefault="00881E5F" w:rsidP="00E43F47">
            <w:pPr>
              <w:pStyle w:val="SIBulletList1"/>
            </w:pPr>
            <w:r>
              <w:t>recorded sales and reordered products.</w:t>
            </w:r>
          </w:p>
        </w:tc>
      </w:tr>
    </w:tbl>
    <w:p w14:paraId="1701F21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D69C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B0F5E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262B9AB" w14:textId="77777777" w:rsidTr="00CA2922">
        <w:tc>
          <w:tcPr>
            <w:tcW w:w="5000" w:type="pct"/>
            <w:shd w:val="clear" w:color="auto" w:fill="auto"/>
          </w:tcPr>
          <w:p w14:paraId="474A1DF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07709CB" w14:textId="77777777" w:rsidR="004B4F2A" w:rsidRPr="004B4F2A" w:rsidRDefault="004B4F2A" w:rsidP="004B4F2A">
            <w:pPr>
              <w:pStyle w:val="SIBulletList1"/>
            </w:pPr>
            <w:r w:rsidRPr="004B4F2A">
              <w:t>customer needs in various merchandising settings</w:t>
            </w:r>
          </w:p>
          <w:p w14:paraId="41BF730F" w14:textId="77777777" w:rsidR="004B4F2A" w:rsidRPr="004B4F2A" w:rsidRDefault="004B4F2A" w:rsidP="004B4F2A">
            <w:pPr>
              <w:pStyle w:val="SIBulletList1"/>
            </w:pPr>
            <w:r w:rsidRPr="004B4F2A">
              <w:t>customer buying signals</w:t>
            </w:r>
          </w:p>
          <w:p w14:paraId="68ADD6C5" w14:textId="0C5C52D6" w:rsidR="004B4F2A" w:rsidRPr="004B4F2A" w:rsidRDefault="00F97CAE" w:rsidP="004B4F2A">
            <w:pPr>
              <w:pStyle w:val="SIBulletList1"/>
            </w:pPr>
            <w:r>
              <w:t xml:space="preserve">customer service and </w:t>
            </w:r>
            <w:r w:rsidR="004B4F2A" w:rsidRPr="004B4F2A">
              <w:t>sales techniques</w:t>
            </w:r>
          </w:p>
          <w:p w14:paraId="701538FA" w14:textId="3CEE0413" w:rsidR="004B4F2A" w:rsidRPr="004B4F2A" w:rsidRDefault="004B4F2A" w:rsidP="004B4F2A">
            <w:pPr>
              <w:pStyle w:val="SIBulletList1"/>
            </w:pPr>
            <w:r w:rsidRPr="004B4F2A">
              <w:t>how to effectively engage and communicate with a range of customers from diverse backgrounds</w:t>
            </w:r>
          </w:p>
          <w:p w14:paraId="595084D5" w14:textId="5AF81A93" w:rsidR="00E43F47" w:rsidRDefault="004B4F2A" w:rsidP="00E43F47">
            <w:pPr>
              <w:pStyle w:val="SIBulletList1"/>
            </w:pPr>
            <w:r w:rsidRPr="004B4F2A">
              <w:t>leg</w:t>
            </w:r>
            <w:r w:rsidR="00F97CAE">
              <w:t>isl</w:t>
            </w:r>
            <w:r w:rsidRPr="004B4F2A">
              <w:t>a</w:t>
            </w:r>
            <w:r w:rsidR="00F97CAE">
              <w:t>tive</w:t>
            </w:r>
            <w:r w:rsidRPr="004B4F2A">
              <w:t xml:space="preserve"> requirements in sales environments, particularly </w:t>
            </w:r>
            <w:r w:rsidR="00F97CAE">
              <w:t>f</w:t>
            </w:r>
            <w:r w:rsidRPr="004B4F2A">
              <w:t xml:space="preserve">air </w:t>
            </w:r>
            <w:r w:rsidR="00F97CAE">
              <w:t>t</w:t>
            </w:r>
            <w:r w:rsidRPr="004B4F2A">
              <w:t xml:space="preserve">rading, </w:t>
            </w:r>
            <w:r w:rsidR="00F97CAE">
              <w:t>t</w:t>
            </w:r>
            <w:r w:rsidRPr="004B4F2A">
              <w:t xml:space="preserve">rade </w:t>
            </w:r>
            <w:r w:rsidR="00F97CAE">
              <w:t>p</w:t>
            </w:r>
            <w:r w:rsidRPr="004B4F2A">
              <w:t xml:space="preserve">ractices and </w:t>
            </w:r>
            <w:r w:rsidR="00F97CAE">
              <w:t>s</w:t>
            </w:r>
            <w:r w:rsidRPr="004B4F2A">
              <w:t xml:space="preserve">ale of </w:t>
            </w:r>
            <w:r w:rsidR="00F97CAE">
              <w:t>g</w:t>
            </w:r>
            <w:r w:rsidRPr="004B4F2A">
              <w:t>oods legislation</w:t>
            </w:r>
            <w:r w:rsidR="00881E5F">
              <w:t xml:space="preserve"> and</w:t>
            </w:r>
            <w:r w:rsidRPr="004B4F2A">
              <w:t xml:space="preserve"> public liability</w:t>
            </w:r>
          </w:p>
          <w:p w14:paraId="7597FA1A" w14:textId="7B20594F" w:rsidR="004B4F2A" w:rsidRPr="000754EC" w:rsidRDefault="00E43F47">
            <w:pPr>
              <w:pStyle w:val="SIBulletList1"/>
            </w:pPr>
            <w:r>
              <w:t>workplace procedures for selling products and services</w:t>
            </w:r>
            <w:r w:rsidR="00881E5F">
              <w:t>.</w:t>
            </w:r>
          </w:p>
        </w:tc>
      </w:tr>
    </w:tbl>
    <w:p w14:paraId="0079C9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FFCB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3936F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CCA4EDE" w14:textId="77777777" w:rsidTr="00CA2922">
        <w:tc>
          <w:tcPr>
            <w:tcW w:w="5000" w:type="pct"/>
            <w:shd w:val="clear" w:color="auto" w:fill="auto"/>
          </w:tcPr>
          <w:p w14:paraId="3C1F6A0E" w14:textId="230F18B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5222448" w14:textId="15052D2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9D6A1AB" w14:textId="38282EE5" w:rsidR="004E6741" w:rsidRPr="000754EC" w:rsidRDefault="00881E5F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F8BADF5" w14:textId="1F53D30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5D7240A" w14:textId="1B18E352" w:rsidR="00F83D7C" w:rsidRPr="000754EC" w:rsidRDefault="00E43F47" w:rsidP="000754EC">
            <w:pPr>
              <w:pStyle w:val="SIBulletList2"/>
              <w:rPr>
                <w:rFonts w:eastAsia="Calibri"/>
              </w:rPr>
            </w:pPr>
            <w:r w:rsidRPr="004B4F2A">
              <w:t>leg</w:t>
            </w:r>
            <w:r w:rsidR="00F97CAE">
              <w:t>islative</w:t>
            </w:r>
            <w:r w:rsidRPr="004B4F2A">
              <w:t xml:space="preserve"> requirements </w:t>
            </w:r>
            <w:r>
              <w:t>relevant to</w:t>
            </w:r>
            <w:r w:rsidRPr="004B4F2A">
              <w:t xml:space="preserve"> sales environments, particularly </w:t>
            </w:r>
            <w:r w:rsidR="00F97CAE">
              <w:t>f</w:t>
            </w:r>
            <w:r w:rsidRPr="004B4F2A">
              <w:t xml:space="preserve">air </w:t>
            </w:r>
            <w:r w:rsidR="00F97CAE">
              <w:t>t</w:t>
            </w:r>
            <w:r w:rsidRPr="004B4F2A">
              <w:t xml:space="preserve">rading, </w:t>
            </w:r>
            <w:r w:rsidR="00F97CAE">
              <w:t>t</w:t>
            </w:r>
            <w:r w:rsidRPr="004B4F2A">
              <w:t xml:space="preserve">rade </w:t>
            </w:r>
            <w:r w:rsidR="00F97CAE">
              <w:t>p</w:t>
            </w:r>
            <w:r w:rsidRPr="004B4F2A">
              <w:t xml:space="preserve">ractices and </w:t>
            </w:r>
            <w:r w:rsidR="00F97CAE">
              <w:t>s</w:t>
            </w:r>
            <w:r w:rsidRPr="004B4F2A">
              <w:t xml:space="preserve">ale of </w:t>
            </w:r>
            <w:r w:rsidR="00F97CAE">
              <w:t>g</w:t>
            </w:r>
            <w:r w:rsidRPr="004B4F2A">
              <w:t>oods legislation</w:t>
            </w:r>
            <w:r w:rsidRPr="00E43F47">
              <w:t xml:space="preserve"> and public liability</w:t>
            </w:r>
          </w:p>
          <w:p w14:paraId="3CFE3F10" w14:textId="72C9A70D" w:rsidR="00366805" w:rsidRPr="000754EC" w:rsidRDefault="00E43F47" w:rsidP="000754EC">
            <w:pPr>
              <w:pStyle w:val="SIBulletList2"/>
              <w:rPr>
                <w:rFonts w:eastAsia="Calibri"/>
              </w:rPr>
            </w:pPr>
            <w:r>
              <w:t>workpl</w:t>
            </w:r>
            <w:r w:rsidRPr="00E43F47">
              <w:t xml:space="preserve">ace procedures </w:t>
            </w:r>
            <w:r>
              <w:t>relevant to</w:t>
            </w:r>
            <w:r w:rsidRPr="00E43F47">
              <w:t xml:space="preserve"> selling products and services</w:t>
            </w:r>
          </w:p>
          <w:p w14:paraId="00C60BE1" w14:textId="2647BE4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200EDAB3" w14:textId="5DFCF349" w:rsidR="0021210E" w:rsidRPr="000754EC" w:rsidRDefault="008322BE" w:rsidP="00FD1AA4">
            <w:pPr>
              <w:pStyle w:val="SIBulletList2"/>
            </w:pPr>
            <w:r>
              <w:t xml:space="preserve">customers, </w:t>
            </w:r>
            <w:r w:rsidR="00E43F47">
              <w:t>appropriate personnel</w:t>
            </w:r>
            <w:r w:rsidR="0021210E">
              <w:t>.</w:t>
            </w:r>
          </w:p>
          <w:p w14:paraId="74E8CCE1" w14:textId="77777777" w:rsidR="0021210E" w:rsidRDefault="0021210E" w:rsidP="000754EC">
            <w:pPr>
              <w:pStyle w:val="SIText"/>
            </w:pPr>
          </w:p>
          <w:p w14:paraId="7CEB5FE2" w14:textId="6C8290A5" w:rsidR="00F1480E" w:rsidRPr="000754EC" w:rsidRDefault="007134FE" w:rsidP="00F97CA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8409E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DA2ECE" w14:textId="77777777" w:rsidTr="004679E3">
        <w:tc>
          <w:tcPr>
            <w:tcW w:w="990" w:type="pct"/>
            <w:shd w:val="clear" w:color="auto" w:fill="auto"/>
          </w:tcPr>
          <w:p w14:paraId="521CA7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277E6B3" w14:textId="67F3EE45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10B7B">
              <w:t xml:space="preserve"> </w:t>
            </w:r>
            <w:hyperlink r:id="rId12" w:history="1">
              <w:r w:rsidR="00E10B7B" w:rsidRPr="00D86819">
                <w:t>https://vetnet.education.gov.au/Pages/TrainingDocs.aspx?q=c6399549-9c62-4a5e-bf1a-524b2322cf72</w:t>
              </w:r>
            </w:hyperlink>
          </w:p>
        </w:tc>
      </w:tr>
    </w:tbl>
    <w:p w14:paraId="79425D2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BB7A" w14:textId="77777777" w:rsidR="00EB7EA6" w:rsidRDefault="00EB7EA6" w:rsidP="00BF3F0A">
      <w:r>
        <w:separator/>
      </w:r>
    </w:p>
    <w:p w14:paraId="3C6F22B1" w14:textId="77777777" w:rsidR="00EB7EA6" w:rsidRDefault="00EB7EA6"/>
  </w:endnote>
  <w:endnote w:type="continuationSeparator" w:id="0">
    <w:p w14:paraId="2FAAF55A" w14:textId="77777777" w:rsidR="00EB7EA6" w:rsidRDefault="00EB7EA6" w:rsidP="00BF3F0A">
      <w:r>
        <w:continuationSeparator/>
      </w:r>
    </w:p>
    <w:p w14:paraId="4C9352BD" w14:textId="77777777" w:rsidR="00EB7EA6" w:rsidRDefault="00EB7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CB3E4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55FE5">
          <w:rPr>
            <w:noProof/>
          </w:rPr>
          <w:t>3</w:t>
        </w:r>
        <w:r w:rsidRPr="000754EC">
          <w:fldChar w:fldCharType="end"/>
        </w:r>
      </w:p>
      <w:p w14:paraId="0D20508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BBF249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C5B2" w14:textId="77777777" w:rsidR="00EB7EA6" w:rsidRDefault="00EB7EA6" w:rsidP="00BF3F0A">
      <w:r>
        <w:separator/>
      </w:r>
    </w:p>
    <w:p w14:paraId="007C3CD2" w14:textId="77777777" w:rsidR="00EB7EA6" w:rsidRDefault="00EB7EA6"/>
  </w:footnote>
  <w:footnote w:type="continuationSeparator" w:id="0">
    <w:p w14:paraId="67D91B94" w14:textId="77777777" w:rsidR="00EB7EA6" w:rsidRDefault="00EB7EA6" w:rsidP="00BF3F0A">
      <w:r>
        <w:continuationSeparator/>
      </w:r>
    </w:p>
    <w:p w14:paraId="0F03F375" w14:textId="77777777" w:rsidR="00EB7EA6" w:rsidRDefault="00EB7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338F6" w14:textId="1853C39A" w:rsidR="009C2650" w:rsidRPr="00705780" w:rsidRDefault="00832BF9" w:rsidP="00705780">
    <w:sdt>
      <w:sdtPr>
        <w:rPr>
          <w:lang w:eastAsia="en-US"/>
        </w:rPr>
        <w:id w:val="-105654397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856A5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5780" w:rsidRPr="00705780">
      <w:rPr>
        <w:lang w:eastAsia="en-US"/>
      </w:rPr>
      <w:t>AHCMER303 Sell products and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0859C3"/>
    <w:multiLevelType w:val="multilevel"/>
    <w:tmpl w:val="9416B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90421"/>
    <w:multiLevelType w:val="multilevel"/>
    <w:tmpl w:val="4AC4B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117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F2A"/>
    <w:rsid w:val="004B7A28"/>
    <w:rsid w:val="004C2244"/>
    <w:rsid w:val="004C79A1"/>
    <w:rsid w:val="004D0D5F"/>
    <w:rsid w:val="004D1569"/>
    <w:rsid w:val="004D44B1"/>
    <w:rsid w:val="004D5CA6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78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8C0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4A2B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BF9"/>
    <w:rsid w:val="00834BC8"/>
    <w:rsid w:val="00837FD6"/>
    <w:rsid w:val="00847B60"/>
    <w:rsid w:val="00850243"/>
    <w:rsid w:val="00851BE5"/>
    <w:rsid w:val="008545EB"/>
    <w:rsid w:val="00865011"/>
    <w:rsid w:val="00881E5F"/>
    <w:rsid w:val="00886790"/>
    <w:rsid w:val="008908DE"/>
    <w:rsid w:val="008A12ED"/>
    <w:rsid w:val="008A39D3"/>
    <w:rsid w:val="008B1AF2"/>
    <w:rsid w:val="008B2C77"/>
    <w:rsid w:val="008B4AD2"/>
    <w:rsid w:val="008B7138"/>
    <w:rsid w:val="008E260C"/>
    <w:rsid w:val="008E39BE"/>
    <w:rsid w:val="008E62EC"/>
    <w:rsid w:val="008F32F6"/>
    <w:rsid w:val="0091260B"/>
    <w:rsid w:val="00916CD7"/>
    <w:rsid w:val="00920927"/>
    <w:rsid w:val="00921B38"/>
    <w:rsid w:val="009224FC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72B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0B7B"/>
    <w:rsid w:val="00E238E6"/>
    <w:rsid w:val="00E23BA7"/>
    <w:rsid w:val="00E35064"/>
    <w:rsid w:val="00E3681D"/>
    <w:rsid w:val="00E40225"/>
    <w:rsid w:val="00E43F47"/>
    <w:rsid w:val="00E501F0"/>
    <w:rsid w:val="00E55FE5"/>
    <w:rsid w:val="00E6166D"/>
    <w:rsid w:val="00E91BFF"/>
    <w:rsid w:val="00E92933"/>
    <w:rsid w:val="00E94FAD"/>
    <w:rsid w:val="00EB0AA4"/>
    <w:rsid w:val="00EB5C88"/>
    <w:rsid w:val="00EB7EA6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E35"/>
    <w:rsid w:val="00F65EF0"/>
    <w:rsid w:val="00F71651"/>
    <w:rsid w:val="00F76191"/>
    <w:rsid w:val="00F76CC6"/>
    <w:rsid w:val="00F83D7C"/>
    <w:rsid w:val="00F97CA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FEA79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1060-FFCE-49DC-BD24-644D30329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C711A-B9FF-4BF6-B4B5-771EB828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2019-11-06T01:02:00Z</dcterms:created>
  <dcterms:modified xsi:type="dcterms:W3CDTF">2019-12-09T01:24:00Z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