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725A02FB" w:rsidR="00F1480E" w:rsidRPr="000754EC" w:rsidRDefault="0035000E" w:rsidP="0035000E">
            <w:r w:rsidRPr="0035000E">
              <w:t>This version released with FBP Fo</w:t>
            </w:r>
            <w:r w:rsidR="00935B39">
              <w:t>od, Beverage and Pharmaceutical</w:t>
            </w:r>
            <w:r w:rsidRPr="0035000E">
              <w:t xml:space="preserve">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1BE78C83" w:rsidR="00F1480E" w:rsidRPr="000754EC" w:rsidRDefault="00B9606C" w:rsidP="000754EC">
            <w:pPr>
              <w:pStyle w:val="SIUNITCODE"/>
            </w:pPr>
            <w:r w:rsidRPr="005C1952">
              <w:t>FBP</w:t>
            </w:r>
            <w:r w:rsidR="00D02B81">
              <w:t>TEC</w:t>
            </w:r>
            <w:r>
              <w:t>4XX</w:t>
            </w:r>
            <w:r w:rsidR="007C2CC3">
              <w:t>11</w:t>
            </w:r>
          </w:p>
        </w:tc>
        <w:tc>
          <w:tcPr>
            <w:tcW w:w="3604" w:type="pct"/>
            <w:shd w:val="clear" w:color="auto" w:fill="auto"/>
          </w:tcPr>
          <w:p w14:paraId="11E37076" w14:textId="07003E7A" w:rsidR="00F1480E" w:rsidRPr="000754EC" w:rsidRDefault="007C2CC3" w:rsidP="000754EC">
            <w:pPr>
              <w:pStyle w:val="SIUnittitle"/>
            </w:pPr>
            <w:r>
              <w:t>Apply regulatory requirements to the production of alcoholic beverages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385976" w14:textId="3F6C0880" w:rsidR="006E7AE2" w:rsidRPr="006E7AE2" w:rsidRDefault="006E7AE2" w:rsidP="006E7AE2">
            <w:pPr>
              <w:pStyle w:val="SIText"/>
            </w:pPr>
            <w:r w:rsidRPr="006E7AE2">
              <w:t>This unit of competency describes the skills and knowledge required</w:t>
            </w:r>
            <w:r w:rsidR="003C38BD">
              <w:t xml:space="preserve"> to</w:t>
            </w:r>
            <w:r w:rsidRPr="006E7AE2">
              <w:t xml:space="preserve"> </w:t>
            </w:r>
            <w:r w:rsidR="00C437C9">
              <w:t>ensure that the production of alcoholic beverages complies with legislation and regulations, particularly with obligations related to excise.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5E07C9B3" w14:textId="77777777" w:rsidR="00C437C9" w:rsidRPr="00C437C9" w:rsidRDefault="00C437C9" w:rsidP="00C437C9">
            <w:pPr>
              <w:pStyle w:val="SIText"/>
            </w:pPr>
            <w:r w:rsidRPr="00FD0753">
              <w:t>The unit applies to individuals who may not be directly responsible for designing procedures for compliance with legislation</w:t>
            </w:r>
            <w:r w:rsidRPr="00C437C9">
              <w:t>, but who should be aware of the existence of legislation, its intent and the arrangements in place to ensure compliance.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3275AE83" w14:textId="77777777" w:rsidR="00C437C9" w:rsidRPr="00C437C9" w:rsidRDefault="00C437C9" w:rsidP="00C437C9">
            <w:pPr>
              <w:pStyle w:val="SIText"/>
            </w:pPr>
            <w:r w:rsidRPr="001F50D8">
              <w:t xml:space="preserve">No occupational licensing or certification requirements apply to this unit at the time of publication. However, legislative and regulatory </w:t>
            </w:r>
            <w:r w:rsidRPr="00C437C9">
              <w:t xml:space="preserve">requirements for food processing exist, so local requirements must be checked. All work must comply with Australian food safety standards and relevant codes of practice. </w:t>
            </w:r>
          </w:p>
          <w:p w14:paraId="7D1AA788" w14:textId="09E07538" w:rsidR="00F1480E" w:rsidRPr="005C1952" w:rsidRDefault="00F1480E" w:rsidP="005C1952">
            <w:pPr>
              <w:pStyle w:val="SIText"/>
            </w:pP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0E57CFE3" w:rsidR="00BD16FC" w:rsidRPr="00BD16FC" w:rsidRDefault="003B5562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7384" w:rsidRPr="00963A46" w14:paraId="68710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6D93E4" w14:textId="2F697C2E" w:rsidR="00B87384" w:rsidRDefault="00F73544" w:rsidP="00BD16FC">
            <w:r>
              <w:t xml:space="preserve">1. </w:t>
            </w:r>
            <w:r w:rsidR="007C2CC3">
              <w:t>Identify legal requirements of alcoholic beverage production</w:t>
            </w:r>
          </w:p>
        </w:tc>
        <w:tc>
          <w:tcPr>
            <w:tcW w:w="3604" w:type="pct"/>
            <w:shd w:val="clear" w:color="auto" w:fill="auto"/>
          </w:tcPr>
          <w:p w14:paraId="5EF839CC" w14:textId="7FF5D162" w:rsidR="00F73544" w:rsidRDefault="00F73544" w:rsidP="005A71D8">
            <w:r>
              <w:t xml:space="preserve">1.1 Identify </w:t>
            </w:r>
            <w:r w:rsidR="007C2CC3">
              <w:t>legislation and regulations relevant to the production of alcohol</w:t>
            </w:r>
            <w:r w:rsidR="006322D4">
              <w:t xml:space="preserve"> type produced at facility</w:t>
            </w:r>
          </w:p>
          <w:p w14:paraId="0A5F05BA" w14:textId="17170164" w:rsidR="00F73544" w:rsidRDefault="00EA7BB1" w:rsidP="005A71D8">
            <w:r>
              <w:t xml:space="preserve">1.2 </w:t>
            </w:r>
            <w:r w:rsidR="007C2CC3">
              <w:t xml:space="preserve">Investigate purpose and intent of regulatory requirements </w:t>
            </w:r>
          </w:p>
          <w:p w14:paraId="3DE21D56" w14:textId="689D0888" w:rsidR="00E06599" w:rsidRDefault="00715BB3" w:rsidP="005A71D8">
            <w:r>
              <w:t xml:space="preserve">1.3 </w:t>
            </w:r>
            <w:r w:rsidR="007C2CC3">
              <w:t>Identify roles and responsibilities of authorities responsible for administering requirements</w:t>
            </w:r>
          </w:p>
          <w:p w14:paraId="77A5D1D0" w14:textId="29AA4442" w:rsidR="00E06599" w:rsidRDefault="00715BB3" w:rsidP="005A71D8">
            <w:r>
              <w:t xml:space="preserve">1.4 </w:t>
            </w:r>
            <w:r w:rsidR="007C2CC3">
              <w:t>Identify requirements of alcoholic beverage producers</w:t>
            </w:r>
            <w:r w:rsidR="00BA652B">
              <w:t>, including licencing requirements where required</w:t>
            </w:r>
          </w:p>
          <w:p w14:paraId="02CF5EB5" w14:textId="74B50C50" w:rsidR="00F73544" w:rsidRDefault="007C2CC3" w:rsidP="00C437C9">
            <w:pPr>
              <w:pStyle w:val="SIText"/>
            </w:pPr>
            <w:r w:rsidRPr="00FD0753">
              <w:t>1.5 Review</w:t>
            </w:r>
            <w:r w:rsidR="006322D4">
              <w:t xml:space="preserve"> workplace </w:t>
            </w:r>
            <w:r w:rsidRPr="00FD0753">
              <w:t xml:space="preserve">procedures to ensure compliance with legal requirements </w:t>
            </w:r>
          </w:p>
        </w:tc>
      </w:tr>
      <w:tr w:rsidR="00296307" w:rsidRPr="00963A46" w14:paraId="548138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3261AA" w14:textId="6F6A11EB" w:rsidR="00296307" w:rsidRDefault="00296307" w:rsidP="00BD16FC">
            <w:r>
              <w:t xml:space="preserve">2. </w:t>
            </w:r>
            <w:r w:rsidR="007C2CC3">
              <w:t xml:space="preserve">Complete records to comply with </w:t>
            </w:r>
            <w:r w:rsidR="00C437C9">
              <w:t>legal requirements</w:t>
            </w:r>
            <w:r w:rsidR="00715BB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9BD77D8" w14:textId="30702A42" w:rsidR="00715BB3" w:rsidRPr="00715BB3" w:rsidRDefault="00715BB3" w:rsidP="00715BB3">
            <w:r>
              <w:t xml:space="preserve">2.1 </w:t>
            </w:r>
            <w:r w:rsidR="00CE733C">
              <w:t>Record details of raw materials</w:t>
            </w:r>
            <w:r w:rsidR="00D11171">
              <w:t xml:space="preserve"> used to manufacture excisable products</w:t>
            </w:r>
          </w:p>
          <w:p w14:paraId="64AB6452" w14:textId="44A675F6" w:rsidR="00715BB3" w:rsidRDefault="00715BB3" w:rsidP="00715BB3">
            <w:r>
              <w:t xml:space="preserve">2.2 </w:t>
            </w:r>
            <w:r w:rsidR="00D11171">
              <w:t>Record fermentation details</w:t>
            </w:r>
            <w:r w:rsidR="004062A5">
              <w:t xml:space="preserve"> for each batch</w:t>
            </w:r>
          </w:p>
          <w:p w14:paraId="089E7EE5" w14:textId="60A6615B" w:rsidR="006B149F" w:rsidRDefault="00715BB3" w:rsidP="00715BB3">
            <w:r>
              <w:t xml:space="preserve">2.3 </w:t>
            </w:r>
            <w:r w:rsidR="006B149F">
              <w:t xml:space="preserve">Record distillation </w:t>
            </w:r>
            <w:r w:rsidR="00076F97">
              <w:t xml:space="preserve">or brew house </w:t>
            </w:r>
            <w:r w:rsidR="006B149F">
              <w:t xml:space="preserve">details </w:t>
            </w:r>
            <w:r w:rsidR="004062A5">
              <w:t xml:space="preserve">for each </w:t>
            </w:r>
            <w:r w:rsidR="00076F97">
              <w:t>batch</w:t>
            </w:r>
          </w:p>
          <w:p w14:paraId="3E0AC226" w14:textId="69F1C97B" w:rsidR="006B149F" w:rsidRDefault="006B149F" w:rsidP="00715BB3">
            <w:r>
              <w:t>2.4 Record bulk storage details</w:t>
            </w:r>
            <w:r w:rsidR="004062A5">
              <w:t xml:space="preserve"> that traces excisable product as it moves in and out of bulk vessels</w:t>
            </w:r>
            <w:r w:rsidR="006322D4">
              <w:t>, including any spillage</w:t>
            </w:r>
            <w:r w:rsidR="00DD081A">
              <w:t xml:space="preserve"> </w:t>
            </w:r>
            <w:r w:rsidR="00076F97">
              <w:t xml:space="preserve">and processing losses </w:t>
            </w:r>
          </w:p>
          <w:p w14:paraId="686E5B18" w14:textId="069317E2" w:rsidR="004062A5" w:rsidRDefault="004062A5" w:rsidP="00715BB3">
            <w:r>
              <w:t>2.5 Record packaging details for product</w:t>
            </w:r>
            <w:r w:rsidR="00126497">
              <w:t xml:space="preserve"> run</w:t>
            </w:r>
          </w:p>
          <w:p w14:paraId="2D2CCE16" w14:textId="77777777" w:rsidR="00296307" w:rsidRDefault="00126497" w:rsidP="005A71D8">
            <w:pPr>
              <w:rPr>
                <w:rFonts w:eastAsiaTheme="minorEastAsia"/>
              </w:rPr>
            </w:pPr>
            <w:r>
              <w:t xml:space="preserve">2.6 Record </w:t>
            </w:r>
            <w:r w:rsidRPr="00126497">
              <w:rPr>
                <w:rFonts w:eastAsiaTheme="minorEastAsia"/>
              </w:rPr>
              <w:t xml:space="preserve">packaged stock records that trace product as it moves in and out of </w:t>
            </w:r>
            <w:proofErr w:type="spellStart"/>
            <w:r w:rsidRPr="00126497">
              <w:rPr>
                <w:rFonts w:eastAsiaTheme="minorEastAsia"/>
              </w:rPr>
              <w:t>underbond</w:t>
            </w:r>
            <w:proofErr w:type="spellEnd"/>
            <w:r w:rsidRPr="00126497">
              <w:rPr>
                <w:rFonts w:eastAsiaTheme="minorEastAsia"/>
              </w:rPr>
              <w:t xml:space="preserve"> package storage area</w:t>
            </w:r>
          </w:p>
          <w:p w14:paraId="41D99DA2" w14:textId="16D770E1" w:rsidR="003E074F" w:rsidRDefault="003E074F" w:rsidP="005A71D8">
            <w:r>
              <w:rPr>
                <w:rFonts w:eastAsiaTheme="minorEastAsia"/>
              </w:rPr>
              <w:t>2.7 Maintain calibration schedules for measuring equipment</w:t>
            </w:r>
          </w:p>
        </w:tc>
      </w:tr>
    </w:tbl>
    <w:p w14:paraId="02F5AA11" w14:textId="74BA8CD2" w:rsidR="005F771F" w:rsidRDefault="005F771F" w:rsidP="005F771F">
      <w:pPr>
        <w:pStyle w:val="SIText"/>
      </w:pPr>
    </w:p>
    <w:p w14:paraId="33B945F5" w14:textId="77777777" w:rsidR="0015513D" w:rsidRDefault="0015513D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652B" w:rsidRPr="00336FCA" w:rsidDel="00423CB2" w14:paraId="5714F31D" w14:textId="77777777" w:rsidTr="00CB0BDF">
        <w:tc>
          <w:tcPr>
            <w:tcW w:w="1396" w:type="pct"/>
          </w:tcPr>
          <w:p w14:paraId="0E45BA51" w14:textId="6CB136CC" w:rsidR="00BA652B" w:rsidRPr="00BA652B" w:rsidRDefault="00BA652B" w:rsidP="00BA652B">
            <w:pPr>
              <w:pStyle w:val="SIText"/>
            </w:pPr>
            <w:bookmarkStart w:id="0" w:name="_Hlk534793189"/>
            <w:r w:rsidRPr="00FD0753">
              <w:t>Reading</w:t>
            </w:r>
          </w:p>
        </w:tc>
        <w:tc>
          <w:tcPr>
            <w:tcW w:w="3604" w:type="pct"/>
          </w:tcPr>
          <w:p w14:paraId="41AE4EE1" w14:textId="64898230" w:rsidR="00BA652B" w:rsidRPr="00BA652B" w:rsidRDefault="00BA652B" w:rsidP="00BA652B">
            <w:pPr>
              <w:pStyle w:val="SIBulletList1"/>
            </w:pPr>
            <w:r w:rsidRPr="00FD0753">
              <w:t>Analyse</w:t>
            </w:r>
            <w:r w:rsidRPr="00BA652B">
              <w:t xml:space="preserve"> compliance and legal documentation from a variety of sources to determine compliance requirements</w:t>
            </w:r>
          </w:p>
        </w:tc>
      </w:tr>
      <w:tr w:rsidR="005C1952" w:rsidRPr="00336FCA" w:rsidDel="00423CB2" w14:paraId="2965A0B8" w14:textId="77777777" w:rsidTr="00CB0BDF">
        <w:tc>
          <w:tcPr>
            <w:tcW w:w="1396" w:type="pct"/>
          </w:tcPr>
          <w:p w14:paraId="59BF9685" w14:textId="3C18B9EC" w:rsidR="005C1952" w:rsidRPr="005C1952" w:rsidRDefault="00BA652B" w:rsidP="005C1952">
            <w:pPr>
              <w:pStyle w:val="SIText"/>
            </w:pPr>
            <w:r>
              <w:lastRenderedPageBreak/>
              <w:t>Numeracy</w:t>
            </w:r>
          </w:p>
        </w:tc>
        <w:tc>
          <w:tcPr>
            <w:tcW w:w="3604" w:type="pct"/>
          </w:tcPr>
          <w:p w14:paraId="48BF3DED" w14:textId="7BCB6353" w:rsidR="006B149F" w:rsidRDefault="006B149F" w:rsidP="00A75538">
            <w:pPr>
              <w:pStyle w:val="SIBulletList1"/>
            </w:pPr>
            <w:r>
              <w:t xml:space="preserve">Calculation to determine </w:t>
            </w:r>
            <w:r w:rsidR="00076F97">
              <w:t xml:space="preserve">dutiable quantity of alcohol </w:t>
            </w:r>
            <w:r>
              <w:t xml:space="preserve">(litres x strength = </w:t>
            </w:r>
            <w:proofErr w:type="spellStart"/>
            <w:r>
              <w:t>Lals</w:t>
            </w:r>
            <w:proofErr w:type="spellEnd"/>
            <w:r>
              <w:t>)</w:t>
            </w:r>
          </w:p>
          <w:p w14:paraId="4276F9F9" w14:textId="77777777" w:rsidR="0081456A" w:rsidRDefault="0081456A" w:rsidP="00A75538">
            <w:pPr>
              <w:pStyle w:val="SIBulletList1"/>
            </w:pPr>
            <w:r>
              <w:t xml:space="preserve">Calculations to determine </w:t>
            </w:r>
            <w:r w:rsidR="00A75538">
              <w:t>excise duty payable</w:t>
            </w:r>
            <w:r>
              <w:t xml:space="preserve"> (volume x strength = dutiable litres of alcohol, dutiable litres of alcohol x excise duty rate = duty payable)</w:t>
            </w:r>
          </w:p>
          <w:p w14:paraId="6DBD34A2" w14:textId="77777777" w:rsidR="00126497" w:rsidRDefault="00126497" w:rsidP="00A75538">
            <w:pPr>
              <w:pStyle w:val="SIBulletList1"/>
            </w:pPr>
            <w:r>
              <w:t>Measure accurately using L, mL</w:t>
            </w:r>
          </w:p>
          <w:p w14:paraId="25FE573E" w14:textId="4C64FA06" w:rsidR="00076F97" w:rsidRPr="005C1952" w:rsidDel="009E5B82" w:rsidRDefault="00076F97" w:rsidP="00A75538">
            <w:pPr>
              <w:pStyle w:val="SIBulletList1"/>
            </w:pPr>
            <w:r>
              <w:t>Determine container fill tolerances</w:t>
            </w:r>
          </w:p>
        </w:tc>
      </w:tr>
      <w:bookmarkEnd w:id="0"/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379B74A8" w14:textId="6B457EC6" w:rsidR="003B5562" w:rsidRPr="000754EC" w:rsidRDefault="003B5562" w:rsidP="003B5562">
            <w:pPr>
              <w:pStyle w:val="SIText"/>
            </w:pPr>
            <w:r w:rsidRPr="005C1952">
              <w:t>FBP</w:t>
            </w:r>
            <w:r>
              <w:t>TEC</w:t>
            </w:r>
            <w:r w:rsidR="006E7AE2">
              <w:t>4XX</w:t>
            </w:r>
            <w:r w:rsidR="00C437C9">
              <w:t>11</w:t>
            </w:r>
            <w:r w:rsidRPr="00BD16FC">
              <w:t xml:space="preserve"> </w:t>
            </w:r>
            <w:r w:rsidR="00C437C9">
              <w:t>Appl</w:t>
            </w:r>
            <w:r w:rsidR="00C437C9" w:rsidRPr="00C437C9">
              <w:t>y regulatory requirements to the production of alcoholic beverages</w:t>
            </w:r>
          </w:p>
          <w:p w14:paraId="7C9801AF" w14:textId="4FEFA50B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57CC47C8" w:rsidR="00556C4C" w:rsidRPr="000754EC" w:rsidRDefault="00C437C9" w:rsidP="003B5562">
            <w:pPr>
              <w:pStyle w:val="SIUnittitle"/>
            </w:pPr>
            <w:r>
              <w:t xml:space="preserve">Assessment requirements for </w:t>
            </w:r>
            <w:r w:rsidR="003A3F6E" w:rsidRPr="005C1952">
              <w:t>FBP</w:t>
            </w:r>
            <w:r w:rsidR="003A3F6E" w:rsidRPr="003A3F6E">
              <w:t>TEC4XX11</w:t>
            </w:r>
            <w:r w:rsidR="003A3F6E">
              <w:t xml:space="preserve"> </w:t>
            </w:r>
            <w:bookmarkStart w:id="1" w:name="_Hlk4154780"/>
            <w:r>
              <w:t>Appl</w:t>
            </w:r>
            <w:r w:rsidRPr="00C437C9">
              <w:t>y regulatory requirements to the production of alcoholic beverages</w:t>
            </w:r>
            <w:bookmarkEnd w:id="1"/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47086364" w14:textId="77777777" w:rsidR="00C437C9" w:rsidRPr="00C437C9" w:rsidRDefault="00C437C9" w:rsidP="00C437C9">
            <w:pPr>
              <w:pStyle w:val="SIText"/>
            </w:pPr>
            <w:r w:rsidRPr="000754EC">
              <w:t>An individual demonstrating competency</w:t>
            </w:r>
            <w:r w:rsidRPr="00C437C9">
              <w:t xml:space="preserve"> in this unit must satisfy all of the elements and performance criteria of this unit. </w:t>
            </w:r>
          </w:p>
          <w:p w14:paraId="27D9BC4F" w14:textId="77777777" w:rsidR="00C437C9" w:rsidRPr="000754EC" w:rsidRDefault="00C437C9" w:rsidP="00C437C9">
            <w:pPr>
              <w:pStyle w:val="SIText"/>
            </w:pPr>
          </w:p>
          <w:p w14:paraId="6719F964" w14:textId="7730FC3D" w:rsidR="00C437C9" w:rsidRDefault="00C437C9" w:rsidP="00C437C9">
            <w:pPr>
              <w:pStyle w:val="SIText"/>
            </w:pPr>
            <w:r w:rsidRPr="00FD0753">
              <w:t xml:space="preserve">There must be evidence that the individual has </w:t>
            </w:r>
            <w:r w:rsidRPr="00C437C9">
              <w:t xml:space="preserve">effectively monitored </w:t>
            </w:r>
            <w:r>
              <w:t>the production of alcoholic beverages</w:t>
            </w:r>
            <w:r w:rsidRPr="00C437C9">
              <w:t xml:space="preserve"> to ensure compliance with legislation, including:</w:t>
            </w:r>
          </w:p>
          <w:p w14:paraId="6A81513C" w14:textId="527C4EA5" w:rsidR="00C437C9" w:rsidRPr="00C437C9" w:rsidRDefault="00C437C9" w:rsidP="00126497">
            <w:pPr>
              <w:pStyle w:val="SIBulletList1"/>
            </w:pPr>
            <w:r w:rsidRPr="00FD0753">
              <w:t>identif</w:t>
            </w:r>
            <w:r w:rsidRPr="00C437C9">
              <w:t xml:space="preserve">ying legal requirements that apply to the </w:t>
            </w:r>
            <w:r w:rsidR="00126497">
              <w:t>production of at least one alcoholic beverage</w:t>
            </w:r>
          </w:p>
          <w:p w14:paraId="3A33D1C8" w14:textId="154C9662" w:rsidR="00C437C9" w:rsidRDefault="00126497" w:rsidP="00126497">
            <w:pPr>
              <w:pStyle w:val="SIBulletList1"/>
            </w:pPr>
            <w:r>
              <w:t>accurately completing records for the production of at least one type of alcoholic beverage, including records that cover:</w:t>
            </w:r>
          </w:p>
          <w:p w14:paraId="24883F0E" w14:textId="5AA77C4A" w:rsidR="00126497" w:rsidRDefault="00126497" w:rsidP="00126497">
            <w:pPr>
              <w:pStyle w:val="SIBulletList2"/>
            </w:pPr>
            <w:r>
              <w:t>raw materials</w:t>
            </w:r>
          </w:p>
          <w:p w14:paraId="665803B0" w14:textId="73B76155" w:rsidR="00126497" w:rsidRDefault="00126497" w:rsidP="00126497">
            <w:pPr>
              <w:pStyle w:val="SIBulletList2"/>
            </w:pPr>
            <w:r>
              <w:t>fermentation</w:t>
            </w:r>
          </w:p>
          <w:p w14:paraId="2ED49B7B" w14:textId="5FB214B3" w:rsidR="00126497" w:rsidRPr="00126497" w:rsidRDefault="00076F97" w:rsidP="00126497">
            <w:pPr>
              <w:pStyle w:val="SIBulletList2"/>
            </w:pPr>
            <w:r>
              <w:rPr>
                <w:rFonts w:eastAsiaTheme="minorEastAsia"/>
              </w:rPr>
              <w:t xml:space="preserve">brew house or </w:t>
            </w:r>
            <w:r w:rsidR="00126497" w:rsidRPr="00126497">
              <w:rPr>
                <w:rFonts w:eastAsiaTheme="minorEastAsia"/>
              </w:rPr>
              <w:t xml:space="preserve">distillation </w:t>
            </w:r>
          </w:p>
          <w:p w14:paraId="2D5D90A1" w14:textId="373B9826" w:rsidR="00126497" w:rsidRPr="00126497" w:rsidRDefault="00126497" w:rsidP="00126497">
            <w:pPr>
              <w:pStyle w:val="SIBulletList2"/>
            </w:pPr>
            <w:r w:rsidRPr="00126497">
              <w:rPr>
                <w:rFonts w:eastAsiaTheme="minorEastAsia"/>
              </w:rPr>
              <w:t>bulk storage</w:t>
            </w:r>
          </w:p>
          <w:p w14:paraId="79824D3F" w14:textId="3782D877" w:rsidR="00126497" w:rsidRPr="00126497" w:rsidRDefault="00126497" w:rsidP="00126497">
            <w:pPr>
              <w:pStyle w:val="SIBulletList2"/>
            </w:pPr>
            <w:r w:rsidRPr="00126497">
              <w:rPr>
                <w:rFonts w:eastAsiaTheme="minorEastAsia"/>
              </w:rPr>
              <w:t xml:space="preserve">packaging </w:t>
            </w:r>
          </w:p>
          <w:p w14:paraId="16DA6526" w14:textId="0F2DD6A6" w:rsidR="00126497" w:rsidRPr="00126497" w:rsidRDefault="00126497" w:rsidP="00126497">
            <w:pPr>
              <w:pStyle w:val="SIBulletList2"/>
            </w:pPr>
            <w:r w:rsidRPr="00126497">
              <w:rPr>
                <w:rFonts w:eastAsiaTheme="minorEastAsia"/>
              </w:rPr>
              <w:t>packaged stock</w:t>
            </w:r>
            <w:r>
              <w:rPr>
                <w:rFonts w:eastAsiaTheme="minorEastAsia"/>
              </w:rPr>
              <w:t>.</w:t>
            </w:r>
          </w:p>
          <w:p w14:paraId="53A6F171" w14:textId="6C904EEE" w:rsidR="00EA7BB1" w:rsidRPr="000754EC" w:rsidRDefault="00EA7BB1" w:rsidP="00C437C9">
            <w:pPr>
              <w:pStyle w:val="SIText"/>
            </w:pPr>
          </w:p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39323CD5" w14:textId="040970D8" w:rsidR="00C437C9" w:rsidRDefault="00C437C9" w:rsidP="00C437C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C437C9">
              <w:t>in the elements and performance criteria of this unit. This includes knowledge of:</w:t>
            </w:r>
          </w:p>
          <w:p w14:paraId="32990900" w14:textId="3CD80233" w:rsidR="00BA652B" w:rsidRDefault="00BA652B" w:rsidP="00C370A4">
            <w:pPr>
              <w:pStyle w:val="SIBulletList1"/>
            </w:pPr>
            <w:r w:rsidRPr="00FD0753">
              <w:t>the legal responsibilities of a</w:t>
            </w:r>
            <w:r>
              <w:t xml:space="preserve">n alcoholic beverage manufacturing </w:t>
            </w:r>
            <w:r w:rsidRPr="00FD0753">
              <w:t>company</w:t>
            </w:r>
            <w:r w:rsidR="00C370A4">
              <w:t xml:space="preserve"> as they relate to excise, product content and packaging, trade measurements:</w:t>
            </w:r>
          </w:p>
          <w:p w14:paraId="2723626A" w14:textId="77777777" w:rsidR="00126497" w:rsidRPr="00126497" w:rsidRDefault="00126497" w:rsidP="00126497">
            <w:pPr>
              <w:pStyle w:val="SIBulletList2"/>
              <w:rPr>
                <w:rStyle w:val="SIText-Italic"/>
              </w:rPr>
            </w:pPr>
            <w:r w:rsidRPr="00126497">
              <w:rPr>
                <w:rStyle w:val="SIText-Italic"/>
              </w:rPr>
              <w:t>Excise Tariff Act 1921 </w:t>
            </w:r>
          </w:p>
          <w:p w14:paraId="1383396D" w14:textId="77777777" w:rsidR="00126497" w:rsidRPr="00126497" w:rsidRDefault="00126497" w:rsidP="00126497">
            <w:pPr>
              <w:pStyle w:val="SIBulletList2"/>
            </w:pPr>
            <w:r w:rsidRPr="00126497">
              <w:rPr>
                <w:rStyle w:val="SIText-Italic"/>
              </w:rPr>
              <w:t>Excise Act 1901</w:t>
            </w:r>
            <w:r w:rsidRPr="00126497">
              <w:t xml:space="preserve"> and </w:t>
            </w:r>
            <w:r w:rsidRPr="00126497">
              <w:rPr>
                <w:rStyle w:val="SIText-Italic"/>
              </w:rPr>
              <w:t>Excise Regulation 2015</w:t>
            </w:r>
            <w:r w:rsidRPr="00126497">
              <w:t> </w:t>
            </w:r>
          </w:p>
          <w:p w14:paraId="2C3ED7ED" w14:textId="77777777" w:rsidR="00126497" w:rsidRPr="00126497" w:rsidRDefault="006D3BBF" w:rsidP="00126497">
            <w:pPr>
              <w:pStyle w:val="SIBulletList2"/>
            </w:pPr>
            <w:hyperlink r:id="rId11" w:tgtFrame="_blank" w:history="1">
              <w:r w:rsidR="00126497" w:rsidRPr="00126497">
                <w:rPr>
                  <w:rStyle w:val="SIText-Italic"/>
                </w:rPr>
                <w:t>National Measurement Act 1960</w:t>
              </w:r>
            </w:hyperlink>
            <w:r w:rsidR="00126497" w:rsidRPr="00126497">
              <w:t> and the </w:t>
            </w:r>
            <w:hyperlink r:id="rId12" w:tgtFrame="_blank" w:history="1">
              <w:r w:rsidR="00126497" w:rsidRPr="00126497">
                <w:rPr>
                  <w:rStyle w:val="SIText-Italic"/>
                </w:rPr>
                <w:t>National Trade Measurement Regulations 2009</w:t>
              </w:r>
            </w:hyperlink>
            <w:r w:rsidR="00126497" w:rsidRPr="00126497">
              <w:t xml:space="preserve"> (trade measurement law)</w:t>
            </w:r>
          </w:p>
          <w:p w14:paraId="27DC5D22" w14:textId="600DCBC3" w:rsidR="00EA632E" w:rsidRPr="00D67C78" w:rsidRDefault="00EA632E" w:rsidP="00C370A4">
            <w:pPr>
              <w:pStyle w:val="SIBulletList2"/>
            </w:pPr>
            <w:r w:rsidRPr="00D67C78">
              <w:t>Food Standards Code</w:t>
            </w:r>
          </w:p>
          <w:p w14:paraId="375496D7" w14:textId="3BE4B1D4" w:rsidR="00C370A4" w:rsidRDefault="00C370A4" w:rsidP="00C370A4">
            <w:pPr>
              <w:pStyle w:val="SIBulletList1"/>
            </w:pPr>
            <w:r>
              <w:t>authorities responsible for administering the legislation and their roles</w:t>
            </w:r>
          </w:p>
          <w:p w14:paraId="78441337" w14:textId="6A51F628" w:rsidR="00D67C78" w:rsidRDefault="00D67C78" w:rsidP="00C370A4">
            <w:pPr>
              <w:pStyle w:val="SIBulletList1"/>
            </w:pPr>
            <w:r>
              <w:t>Australian Taxation Office (ATO) guidelines to clarify excise requirements</w:t>
            </w:r>
            <w:r w:rsidR="00292448">
              <w:t xml:space="preserve"> (</w:t>
            </w:r>
            <w:r>
              <w:t xml:space="preserve">available </w:t>
            </w:r>
            <w:r w:rsidR="00292448">
              <w:t>at the ATO website)</w:t>
            </w:r>
          </w:p>
          <w:p w14:paraId="3E03F438" w14:textId="78F8B4FC" w:rsidR="00D67C78" w:rsidRPr="00D67C78" w:rsidRDefault="00D67C78" w:rsidP="00C370A4">
            <w:pPr>
              <w:pStyle w:val="SIBulletList1"/>
            </w:pPr>
            <w:r w:rsidRPr="00D67C78">
              <w:t xml:space="preserve">requirement to hold a licence to manufacture or store </w:t>
            </w:r>
            <w:proofErr w:type="spellStart"/>
            <w:r w:rsidRPr="00D67C78">
              <w:t>underbond</w:t>
            </w:r>
            <w:proofErr w:type="spellEnd"/>
            <w:r w:rsidRPr="00D67C78">
              <w:t xml:space="preserve"> excisable alcohol products</w:t>
            </w:r>
          </w:p>
          <w:p w14:paraId="41628C3B" w14:textId="5BDEF114" w:rsidR="00BA652B" w:rsidRDefault="00C370A4" w:rsidP="00C370A4">
            <w:pPr>
              <w:pStyle w:val="SIBulletList1"/>
            </w:pPr>
            <w:r w:rsidRPr="00C370A4">
              <w:t>activities</w:t>
            </w:r>
            <w:r>
              <w:t xml:space="preserve"> that the ATO consider as manufacturing for excise purposes:</w:t>
            </w:r>
          </w:p>
          <w:p w14:paraId="3081F167" w14:textId="2286E958" w:rsidR="00C370A4" w:rsidRPr="00C370A4" w:rsidRDefault="00C370A4" w:rsidP="00C370A4">
            <w:pPr>
              <w:pStyle w:val="SIBulletList2"/>
            </w:pPr>
            <w:r w:rsidRPr="00C370A4">
              <w:t>fermentation (except for wine</w:t>
            </w:r>
            <w:r>
              <w:t>)</w:t>
            </w:r>
          </w:p>
          <w:p w14:paraId="0416CA92" w14:textId="77777777" w:rsidR="00C370A4" w:rsidRPr="00C370A4" w:rsidRDefault="00C370A4" w:rsidP="00C370A4">
            <w:pPr>
              <w:pStyle w:val="SIBulletList2"/>
            </w:pPr>
            <w:r w:rsidRPr="00C370A4">
              <w:t>distillation</w:t>
            </w:r>
          </w:p>
          <w:p w14:paraId="796607D2" w14:textId="77777777" w:rsidR="00C370A4" w:rsidRPr="00C370A4" w:rsidRDefault="00C370A4" w:rsidP="00C370A4">
            <w:pPr>
              <w:pStyle w:val="SIBulletList2"/>
            </w:pPr>
            <w:r w:rsidRPr="00C370A4">
              <w:t>the addition of flavours and/or colours (including in-line mixing as part of packaging into bottles, cans or kegs)</w:t>
            </w:r>
          </w:p>
          <w:p w14:paraId="5A46F9C0" w14:textId="77777777" w:rsidR="00C370A4" w:rsidRPr="00C370A4" w:rsidRDefault="00C370A4" w:rsidP="00C370A4">
            <w:pPr>
              <w:pStyle w:val="SIBulletList2"/>
            </w:pPr>
            <w:r w:rsidRPr="00C370A4">
              <w:t>reduction (adding water)</w:t>
            </w:r>
          </w:p>
          <w:p w14:paraId="6FE81B54" w14:textId="2CB2ACF0" w:rsidR="00C370A4" w:rsidRPr="00C370A4" w:rsidRDefault="00C370A4" w:rsidP="00C370A4">
            <w:pPr>
              <w:pStyle w:val="SIBulletList2"/>
            </w:pPr>
            <w:r w:rsidRPr="00C370A4">
              <w:t>blending</w:t>
            </w:r>
          </w:p>
          <w:p w14:paraId="366D6AE4" w14:textId="77777777" w:rsidR="00C370A4" w:rsidRPr="00C370A4" w:rsidRDefault="00C370A4" w:rsidP="00C370A4">
            <w:pPr>
              <w:pStyle w:val="SIBulletList2"/>
            </w:pPr>
            <w:r w:rsidRPr="00C370A4">
              <w:t>denaturing spirits</w:t>
            </w:r>
          </w:p>
          <w:p w14:paraId="1EAA6C98" w14:textId="5DA1301A" w:rsidR="00C370A4" w:rsidRPr="00C370A4" w:rsidRDefault="00C370A4" w:rsidP="00C370A4">
            <w:pPr>
              <w:pStyle w:val="SIBulletList2"/>
            </w:pPr>
            <w:r w:rsidRPr="00C370A4">
              <w:t>maturation of spirits in wood</w:t>
            </w:r>
          </w:p>
          <w:p w14:paraId="0B14CCCD" w14:textId="0BBF4923" w:rsidR="00C370A4" w:rsidRPr="00C370A4" w:rsidRDefault="00C370A4" w:rsidP="00C370A4">
            <w:pPr>
              <w:pStyle w:val="SIBulletList2"/>
            </w:pPr>
            <w:r w:rsidRPr="00C370A4">
              <w:t>repackaging of duty-paid beer from bulk containers</w:t>
            </w:r>
          </w:p>
          <w:p w14:paraId="56C69917" w14:textId="65927696" w:rsidR="00D67C78" w:rsidRDefault="00EA632E" w:rsidP="00084BE0">
            <w:pPr>
              <w:pStyle w:val="SIBulletList1"/>
            </w:pPr>
            <w:r w:rsidRPr="00D67C78">
              <w:t>services provided by the National Measurement Institute including requirements of trade measurement laws for the retail sale of beer, wine and spirits</w:t>
            </w:r>
          </w:p>
          <w:p w14:paraId="3EDC3DB9" w14:textId="796EC7FA" w:rsidR="00084BE0" w:rsidRDefault="00084BE0" w:rsidP="00084BE0">
            <w:pPr>
              <w:pStyle w:val="SIBulletList1"/>
            </w:pPr>
            <w:r>
              <w:t>methods to establish the volume of containers</w:t>
            </w:r>
          </w:p>
          <w:p w14:paraId="29FACB2A" w14:textId="283E0660" w:rsidR="00084BE0" w:rsidRPr="00D67C78" w:rsidRDefault="00084BE0" w:rsidP="00573B52">
            <w:pPr>
              <w:pStyle w:val="SIBulletList1"/>
            </w:pPr>
            <w:r>
              <w:t>allowable tolerances in alcoholic strength of product</w:t>
            </w:r>
          </w:p>
          <w:p w14:paraId="51801C8C" w14:textId="7DC76946" w:rsidR="00EA632E" w:rsidRPr="00D67C78" w:rsidRDefault="00D67C78" w:rsidP="00C370A4">
            <w:pPr>
              <w:pStyle w:val="SIBulletList1"/>
            </w:pPr>
            <w:r w:rsidRPr="00D67C78">
              <w:t xml:space="preserve">calibration and certification testing </w:t>
            </w:r>
            <w:r w:rsidR="00126497">
              <w:t>requirements</w:t>
            </w:r>
            <w:r w:rsidRPr="00D67C78">
              <w:t xml:space="preserve"> for measur</w:t>
            </w:r>
            <w:r w:rsidR="00126497">
              <w:t xml:space="preserve">ing </w:t>
            </w:r>
            <w:r w:rsidRPr="00D67C78">
              <w:t>and testing equipment</w:t>
            </w:r>
          </w:p>
          <w:p w14:paraId="04C265FF" w14:textId="4ABF152B" w:rsidR="00D67C78" w:rsidRDefault="00D67C78" w:rsidP="00C370A4">
            <w:pPr>
              <w:pStyle w:val="SIBulletList1"/>
            </w:pPr>
            <w:r w:rsidRPr="00D67C78">
              <w:t>requirement for a liquor licence to sell and consume alcohol from a production site</w:t>
            </w:r>
          </w:p>
          <w:p w14:paraId="1B6809BA" w14:textId="2247032D" w:rsidR="00D67C78" w:rsidRDefault="00C370A4" w:rsidP="0081456A">
            <w:pPr>
              <w:pStyle w:val="SIBulletList1"/>
            </w:pPr>
            <w:r>
              <w:t>excise tariffs</w:t>
            </w:r>
            <w:r w:rsidR="0081456A">
              <w:t xml:space="preserve"> and classification of excisable alcohol products (brandy, rum, whisky, wine, other excisable beverage)</w:t>
            </w:r>
          </w:p>
          <w:p w14:paraId="1951AB85" w14:textId="0704503A" w:rsidR="0081456A" w:rsidRDefault="0081456A" w:rsidP="0081456A">
            <w:pPr>
              <w:pStyle w:val="SIBulletList1"/>
            </w:pPr>
            <w:r>
              <w:t>excise rates for alcohol product manufactured at specified site</w:t>
            </w:r>
          </w:p>
          <w:p w14:paraId="4B86731F" w14:textId="1437F76F" w:rsidR="0081456A" w:rsidRDefault="0081456A" w:rsidP="0081456A">
            <w:pPr>
              <w:pStyle w:val="SIBulletList1"/>
            </w:pPr>
            <w:r>
              <w:t>when excise duty is imposed and how it is acquitted</w:t>
            </w:r>
          </w:p>
          <w:p w14:paraId="421C1BE4" w14:textId="053D4390" w:rsidR="0081456A" w:rsidRDefault="0081456A" w:rsidP="0081456A">
            <w:pPr>
              <w:pStyle w:val="SIBulletList1"/>
            </w:pPr>
            <w:r>
              <w:t>allowable methods to measure alcohol content</w:t>
            </w:r>
            <w:r w:rsidR="003F19D2">
              <w:t xml:space="preserve"> and volume and permitted variations</w:t>
            </w:r>
          </w:p>
          <w:p w14:paraId="42ADAD77" w14:textId="4D46F951" w:rsidR="003F19D2" w:rsidRDefault="003F19D2" w:rsidP="0081456A">
            <w:pPr>
              <w:pStyle w:val="SIBulletList1"/>
            </w:pPr>
            <w:r>
              <w:t>instruments used to measure alcohol content and volume of excisable good and the requirement for calibration and certification</w:t>
            </w:r>
          </w:p>
          <w:p w14:paraId="2888DA81" w14:textId="3F4DBA6B" w:rsidR="0081456A" w:rsidRDefault="003F19D2" w:rsidP="003F19D2">
            <w:pPr>
              <w:pStyle w:val="SIBulletList1"/>
            </w:pPr>
            <w:r>
              <w:t>legal definition of brandy, whisky and rum and the requirement to be stored in wood for 2 years</w:t>
            </w:r>
          </w:p>
          <w:p w14:paraId="23F567F9" w14:textId="731523E9" w:rsidR="003F19D2" w:rsidRDefault="003F19D2" w:rsidP="003F19D2">
            <w:pPr>
              <w:pStyle w:val="SIBulletList1"/>
            </w:pPr>
            <w:r>
              <w:lastRenderedPageBreak/>
              <w:t>requirements of blended alcoholic spirits and the declared maturation age of the product (taken to be the youngest constituent of the spirit)</w:t>
            </w:r>
          </w:p>
          <w:p w14:paraId="0D0F999C" w14:textId="09DD41FE" w:rsidR="003F19D2" w:rsidRDefault="003F19D2" w:rsidP="003F19D2">
            <w:pPr>
              <w:pStyle w:val="SIBulletList1"/>
            </w:pPr>
            <w:r>
              <w:t>record</w:t>
            </w:r>
            <w:r w:rsidR="002C5FDF">
              <w:t xml:space="preserve">s required by the ATO for the production </w:t>
            </w:r>
            <w:r w:rsidR="002C5FDF" w:rsidRPr="002C5FDF">
              <w:t>excisable alcohol</w:t>
            </w:r>
            <w:r w:rsidR="002C5FDF">
              <w:t xml:space="preserve"> products</w:t>
            </w:r>
            <w:r w:rsidR="00CE733C">
              <w:t>, including</w:t>
            </w:r>
            <w:r>
              <w:t>:</w:t>
            </w:r>
          </w:p>
          <w:p w14:paraId="446F61C2" w14:textId="5E42F8BF" w:rsidR="00CE733C" w:rsidRPr="00CE733C" w:rsidRDefault="00CE733C" w:rsidP="00CE733C">
            <w:pPr>
              <w:pStyle w:val="SIBulletList2"/>
            </w:pPr>
            <w:r>
              <w:rPr>
                <w:rFonts w:eastAsiaTheme="minorEastAsia"/>
              </w:rPr>
              <w:t>d</w:t>
            </w:r>
            <w:r w:rsidRPr="00CE733C">
              <w:rPr>
                <w:rFonts w:eastAsiaTheme="minorEastAsia"/>
              </w:rPr>
              <w:t>etails of raw materials used in the manufacture of excisable products</w:t>
            </w:r>
          </w:p>
          <w:p w14:paraId="00062EA4" w14:textId="21E3D575" w:rsidR="00CE733C" w:rsidRPr="00CE733C" w:rsidRDefault="00CE733C" w:rsidP="00CE733C">
            <w:pPr>
              <w:pStyle w:val="SIBulletList2"/>
            </w:pPr>
            <w:r>
              <w:rPr>
                <w:rFonts w:eastAsiaTheme="minorEastAsia"/>
              </w:rPr>
              <w:t>f</w:t>
            </w:r>
            <w:r w:rsidRPr="00CE733C">
              <w:rPr>
                <w:rFonts w:eastAsiaTheme="minorEastAsia"/>
              </w:rPr>
              <w:t>ermentation records</w:t>
            </w:r>
            <w:r>
              <w:rPr>
                <w:rFonts w:eastAsiaTheme="minorEastAsia"/>
              </w:rPr>
              <w:t xml:space="preserve"> </w:t>
            </w:r>
          </w:p>
          <w:p w14:paraId="0837F0EB" w14:textId="145AF717" w:rsidR="00CE733C" w:rsidRPr="00CE733C" w:rsidRDefault="00CE733C" w:rsidP="00CE733C">
            <w:pPr>
              <w:pStyle w:val="SIBulletList2"/>
            </w:pPr>
            <w:r>
              <w:rPr>
                <w:rFonts w:eastAsiaTheme="minorEastAsia"/>
              </w:rPr>
              <w:t>d</w:t>
            </w:r>
            <w:r w:rsidRPr="00CE733C">
              <w:rPr>
                <w:rFonts w:eastAsiaTheme="minorEastAsia"/>
              </w:rPr>
              <w:t>istillation records</w:t>
            </w:r>
            <w:r>
              <w:rPr>
                <w:rFonts w:eastAsiaTheme="minorEastAsia"/>
              </w:rPr>
              <w:t xml:space="preserve"> (only for spirits)</w:t>
            </w:r>
          </w:p>
          <w:p w14:paraId="652228B5" w14:textId="11423420" w:rsidR="00CE733C" w:rsidRPr="00CE733C" w:rsidRDefault="00CE733C" w:rsidP="00CE733C">
            <w:pPr>
              <w:pStyle w:val="SIBulletList2"/>
            </w:pPr>
            <w:r>
              <w:rPr>
                <w:rFonts w:eastAsiaTheme="minorEastAsia"/>
              </w:rPr>
              <w:t>b</w:t>
            </w:r>
            <w:r w:rsidRPr="00CE733C">
              <w:rPr>
                <w:rFonts w:eastAsiaTheme="minorEastAsia"/>
              </w:rPr>
              <w:t>ulk storage records</w:t>
            </w:r>
          </w:p>
          <w:p w14:paraId="6A809E3B" w14:textId="41ECB665" w:rsidR="00CE733C" w:rsidRPr="00CE733C" w:rsidRDefault="00CE733C" w:rsidP="00CE733C">
            <w:pPr>
              <w:pStyle w:val="SIBulletList2"/>
            </w:pPr>
            <w:r>
              <w:rPr>
                <w:rFonts w:eastAsiaTheme="minorEastAsia"/>
              </w:rPr>
              <w:t>p</w:t>
            </w:r>
            <w:r w:rsidRPr="00CE733C">
              <w:rPr>
                <w:rFonts w:eastAsiaTheme="minorEastAsia"/>
              </w:rPr>
              <w:t>ackaging records</w:t>
            </w:r>
            <w:bookmarkStart w:id="2" w:name="_GoBack"/>
            <w:bookmarkEnd w:id="2"/>
          </w:p>
          <w:p w14:paraId="63433C6F" w14:textId="1CE82FEC" w:rsidR="00CE733C" w:rsidRPr="00CE733C" w:rsidRDefault="00CE733C" w:rsidP="00CE733C">
            <w:pPr>
              <w:pStyle w:val="SIBulletList2"/>
            </w:pPr>
            <w:r>
              <w:rPr>
                <w:rFonts w:eastAsiaTheme="minorEastAsia"/>
              </w:rPr>
              <w:t>p</w:t>
            </w:r>
            <w:r w:rsidRPr="00CE733C">
              <w:rPr>
                <w:rFonts w:eastAsiaTheme="minorEastAsia"/>
              </w:rPr>
              <w:t>ackaged stock records</w:t>
            </w:r>
          </w:p>
          <w:p w14:paraId="4E797198" w14:textId="4F343695" w:rsidR="004062A5" w:rsidRPr="000754EC" w:rsidRDefault="002C5FDF" w:rsidP="00CE733C">
            <w:pPr>
              <w:pStyle w:val="SIBulletList1"/>
            </w:pPr>
            <w:r>
              <w:t>company record keeping requirements.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406E26C8" w14:textId="77777777" w:rsidR="00C437C9" w:rsidRPr="00C437C9" w:rsidRDefault="00C437C9" w:rsidP="00C437C9">
            <w:pPr>
              <w:pStyle w:val="SIText"/>
            </w:pPr>
            <w:r>
              <w:t xml:space="preserve">Assessment of </w:t>
            </w:r>
            <w:r w:rsidRPr="00C437C9">
              <w:t xml:space="preserve">skills must take place under the following conditions: </w:t>
            </w:r>
          </w:p>
          <w:p w14:paraId="5CD29D46" w14:textId="77777777" w:rsidR="00C437C9" w:rsidRPr="00C437C9" w:rsidRDefault="00C437C9" w:rsidP="00C437C9">
            <w:pPr>
              <w:pStyle w:val="SIBulletList1"/>
            </w:pPr>
            <w:r w:rsidRPr="000754EC">
              <w:t>p</w:t>
            </w:r>
            <w:r w:rsidRPr="00C437C9">
              <w:t>hysical conditions:</w:t>
            </w:r>
          </w:p>
          <w:p w14:paraId="16E85F5F" w14:textId="77777777" w:rsidR="00C437C9" w:rsidRPr="00C437C9" w:rsidRDefault="00C437C9" w:rsidP="00C437C9">
            <w:pPr>
              <w:pStyle w:val="SIBulletList2"/>
            </w:pPr>
            <w:r w:rsidRPr="000754EC">
              <w:t xml:space="preserve">skills must be demonstrated </w:t>
            </w:r>
            <w:r w:rsidRPr="00C437C9">
              <w:t xml:space="preserve">in a workplace setting or an environment that accurately represents a real food processing workplace </w:t>
            </w:r>
          </w:p>
          <w:p w14:paraId="6B9F8A4A" w14:textId="77777777" w:rsidR="00C437C9" w:rsidRPr="00C437C9" w:rsidRDefault="00C437C9" w:rsidP="00C437C9">
            <w:pPr>
              <w:pStyle w:val="SIBulletList1"/>
            </w:pPr>
            <w:r>
              <w:t xml:space="preserve">resources, </w:t>
            </w:r>
            <w:r w:rsidRPr="00C437C9">
              <w:t>equipment and materials:</w:t>
            </w:r>
          </w:p>
          <w:p w14:paraId="62891D5C" w14:textId="2FEF4016" w:rsidR="00C437C9" w:rsidRPr="00C437C9" w:rsidRDefault="00C437C9" w:rsidP="00C437C9">
            <w:pPr>
              <w:pStyle w:val="SIBulletList2"/>
            </w:pPr>
            <w:r>
              <w:t>alcoholic beverage production operations</w:t>
            </w:r>
          </w:p>
          <w:p w14:paraId="41384297" w14:textId="77777777" w:rsidR="00C437C9" w:rsidRPr="00C437C9" w:rsidRDefault="00C437C9" w:rsidP="00C437C9">
            <w:pPr>
              <w:pStyle w:val="SIBulletList1"/>
            </w:pPr>
            <w:r w:rsidRPr="00FD0753">
              <w:t>specifications:</w:t>
            </w:r>
          </w:p>
          <w:p w14:paraId="265F7179" w14:textId="77777777" w:rsidR="00C437C9" w:rsidRPr="00C437C9" w:rsidRDefault="00C437C9" w:rsidP="00C437C9">
            <w:pPr>
              <w:pStyle w:val="SIBulletList2"/>
            </w:pPr>
            <w:r w:rsidRPr="00FD0753">
              <w:t>workplace processes and procedures</w:t>
            </w:r>
          </w:p>
          <w:p w14:paraId="1C7CD08A" w14:textId="77777777" w:rsidR="00292448" w:rsidRDefault="00C437C9" w:rsidP="00C437C9">
            <w:pPr>
              <w:pStyle w:val="SIBulletList2"/>
            </w:pPr>
            <w:r w:rsidRPr="00FD0753">
              <w:t>relevant legislation</w:t>
            </w:r>
          </w:p>
          <w:p w14:paraId="369107E6" w14:textId="632F6D55" w:rsidR="00C437C9" w:rsidRPr="00C437C9" w:rsidRDefault="00292448" w:rsidP="00C437C9">
            <w:pPr>
              <w:pStyle w:val="SIBulletList2"/>
            </w:pPr>
            <w:r>
              <w:t>ATO resources</w:t>
            </w:r>
            <w:r w:rsidR="00C437C9" w:rsidRPr="00FD0753">
              <w:t>.</w:t>
            </w:r>
          </w:p>
          <w:p w14:paraId="74E8CD55" w14:textId="77777777" w:rsidR="00C437C9" w:rsidRDefault="00C437C9" w:rsidP="00C437C9">
            <w:pPr>
              <w:pStyle w:val="SIText"/>
            </w:pPr>
          </w:p>
          <w:p w14:paraId="221A1A5C" w14:textId="77777777" w:rsidR="00C437C9" w:rsidRPr="00C437C9" w:rsidRDefault="00C437C9" w:rsidP="00C437C9">
            <w:pPr>
              <w:pStyle w:val="SIText"/>
            </w:pPr>
            <w:r w:rsidRPr="006452B8">
              <w:t xml:space="preserve">Assessors of this unit </w:t>
            </w:r>
            <w:r w:rsidRPr="00C437C9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81F66" w14:textId="77777777" w:rsidR="00224A40" w:rsidRDefault="00224A40" w:rsidP="00BF3F0A">
      <w:r>
        <w:separator/>
      </w:r>
    </w:p>
    <w:p w14:paraId="68496598" w14:textId="77777777" w:rsidR="00224A40" w:rsidRDefault="00224A40"/>
  </w:endnote>
  <w:endnote w:type="continuationSeparator" w:id="0">
    <w:p w14:paraId="2D70F71D" w14:textId="77777777" w:rsidR="00224A40" w:rsidRDefault="00224A40" w:rsidP="00BF3F0A">
      <w:r>
        <w:continuationSeparator/>
      </w:r>
    </w:p>
    <w:p w14:paraId="61C4E043" w14:textId="77777777" w:rsidR="00224A40" w:rsidRDefault="00224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2E60A" w14:textId="77777777" w:rsidR="006D3BBF" w:rsidRDefault="006D3B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346951A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38BD">
          <w:rPr>
            <w:noProof/>
          </w:rPr>
          <w:t>4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7263" w14:textId="77777777" w:rsidR="006D3BBF" w:rsidRDefault="006D3B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24D0A" w14:textId="77777777" w:rsidR="00224A40" w:rsidRDefault="00224A40" w:rsidP="00BF3F0A">
      <w:r>
        <w:separator/>
      </w:r>
    </w:p>
    <w:p w14:paraId="5C32522C" w14:textId="77777777" w:rsidR="00224A40" w:rsidRDefault="00224A40"/>
  </w:footnote>
  <w:footnote w:type="continuationSeparator" w:id="0">
    <w:p w14:paraId="0C67FB52" w14:textId="77777777" w:rsidR="00224A40" w:rsidRDefault="00224A40" w:rsidP="00BF3F0A">
      <w:r>
        <w:continuationSeparator/>
      </w:r>
    </w:p>
    <w:p w14:paraId="0C211F28" w14:textId="77777777" w:rsidR="00224A40" w:rsidRDefault="00224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341F" w14:textId="77777777" w:rsidR="006D3BBF" w:rsidRDefault="006D3B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3218706A" w:rsidR="009C2650" w:rsidRPr="000754EC" w:rsidRDefault="006D3BBF" w:rsidP="00146EEC">
    <w:pPr>
      <w:pStyle w:val="SIText"/>
    </w:pPr>
    <w:sdt>
      <w:sdtPr>
        <w:id w:val="-583446531"/>
        <w:docPartObj>
          <w:docPartGallery w:val="Watermarks"/>
          <w:docPartUnique/>
        </w:docPartObj>
      </w:sdtPr>
      <w:sdtContent>
        <w:r w:rsidRPr="006D3BBF">
          <w:pict w14:anchorId="0F7EF7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9606C" w:rsidRPr="005C1952">
      <w:t>FBP</w:t>
    </w:r>
    <w:r w:rsidR="00227304">
      <w:t>TEC</w:t>
    </w:r>
    <w:r w:rsidR="00D02B81">
      <w:t>4XX</w:t>
    </w:r>
    <w:r w:rsidR="00C437C9">
      <w:t>11</w:t>
    </w:r>
    <w:r w:rsidR="00B9606C" w:rsidRPr="00BD16FC">
      <w:t xml:space="preserve"> </w:t>
    </w:r>
    <w:r w:rsidR="00C437C9">
      <w:t>Apply regulatory requirements to the production of alcoholic beverages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3859A" w14:textId="77777777" w:rsidR="006D3BBF" w:rsidRDefault="006D3B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B44"/>
    <w:multiLevelType w:val="multilevel"/>
    <w:tmpl w:val="193E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D3A07"/>
    <w:multiLevelType w:val="multilevel"/>
    <w:tmpl w:val="C5D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12943"/>
    <w:multiLevelType w:val="multilevel"/>
    <w:tmpl w:val="64D85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0322F"/>
    <w:multiLevelType w:val="multilevel"/>
    <w:tmpl w:val="E8F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76B59"/>
    <w:multiLevelType w:val="multilevel"/>
    <w:tmpl w:val="0B762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EB2330"/>
    <w:multiLevelType w:val="multilevel"/>
    <w:tmpl w:val="1F627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267EE"/>
    <w:multiLevelType w:val="multilevel"/>
    <w:tmpl w:val="CA0CE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63F446F3"/>
    <w:multiLevelType w:val="multilevel"/>
    <w:tmpl w:val="5B0C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4AF4"/>
    <w:multiLevelType w:val="hybridMultilevel"/>
    <w:tmpl w:val="8F088B56"/>
    <w:lvl w:ilvl="0" w:tplc="C966D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69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EC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8CAD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C01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D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47B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289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49F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64C6B"/>
    <w:multiLevelType w:val="hybridMultilevel"/>
    <w:tmpl w:val="E744DFD8"/>
    <w:lvl w:ilvl="0" w:tplc="DFCC4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CF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09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E15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E82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8F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67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86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C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E14"/>
    <w:multiLevelType w:val="hybridMultilevel"/>
    <w:tmpl w:val="8B8E47EC"/>
    <w:lvl w:ilvl="0" w:tplc="89308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EFF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C2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88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84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05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A8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8E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8D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5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24"/>
  </w:num>
  <w:num w:numId="10">
    <w:abstractNumId w:val="18"/>
  </w:num>
  <w:num w:numId="11">
    <w:abstractNumId w:val="22"/>
  </w:num>
  <w:num w:numId="12">
    <w:abstractNumId w:val="20"/>
  </w:num>
  <w:num w:numId="13">
    <w:abstractNumId w:val="26"/>
  </w:num>
  <w:num w:numId="14">
    <w:abstractNumId w:val="5"/>
  </w:num>
  <w:num w:numId="15">
    <w:abstractNumId w:val="6"/>
  </w:num>
  <w:num w:numId="16">
    <w:abstractNumId w:val="28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11"/>
  </w:num>
  <w:num w:numId="22">
    <w:abstractNumId w:val="21"/>
  </w:num>
  <w:num w:numId="23">
    <w:abstractNumId w:val="17"/>
  </w:num>
  <w:num w:numId="24">
    <w:abstractNumId w:val="15"/>
  </w:num>
  <w:num w:numId="25">
    <w:abstractNumId w:val="10"/>
  </w:num>
  <w:num w:numId="26">
    <w:abstractNumId w:val="12"/>
  </w:num>
  <w:num w:numId="27">
    <w:abstractNumId w:val="9"/>
  </w:num>
  <w:num w:numId="28">
    <w:abstractNumId w:val="2"/>
  </w:num>
  <w:num w:numId="29">
    <w:abstractNumId w:val="29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5A15"/>
    <w:rsid w:val="0001108F"/>
    <w:rsid w:val="000115E2"/>
    <w:rsid w:val="000126D0"/>
    <w:rsid w:val="0001296A"/>
    <w:rsid w:val="00016803"/>
    <w:rsid w:val="00023992"/>
    <w:rsid w:val="00026661"/>
    <w:rsid w:val="000275AE"/>
    <w:rsid w:val="00041E59"/>
    <w:rsid w:val="000521E6"/>
    <w:rsid w:val="00064BFE"/>
    <w:rsid w:val="00070B3E"/>
    <w:rsid w:val="00071EEF"/>
    <w:rsid w:val="00071F95"/>
    <w:rsid w:val="000737BB"/>
    <w:rsid w:val="00074E47"/>
    <w:rsid w:val="000754EC"/>
    <w:rsid w:val="00076F97"/>
    <w:rsid w:val="00084BE0"/>
    <w:rsid w:val="00087680"/>
    <w:rsid w:val="0009093B"/>
    <w:rsid w:val="000A5441"/>
    <w:rsid w:val="000C149A"/>
    <w:rsid w:val="000C224E"/>
    <w:rsid w:val="000D61B2"/>
    <w:rsid w:val="000D6502"/>
    <w:rsid w:val="000E25E6"/>
    <w:rsid w:val="000E2C86"/>
    <w:rsid w:val="000F29F2"/>
    <w:rsid w:val="00101659"/>
    <w:rsid w:val="001078BF"/>
    <w:rsid w:val="00126497"/>
    <w:rsid w:val="00133957"/>
    <w:rsid w:val="001372F6"/>
    <w:rsid w:val="00144385"/>
    <w:rsid w:val="00146EEC"/>
    <w:rsid w:val="00151D55"/>
    <w:rsid w:val="00151D93"/>
    <w:rsid w:val="001541FC"/>
    <w:rsid w:val="0015513D"/>
    <w:rsid w:val="00156EF3"/>
    <w:rsid w:val="00172877"/>
    <w:rsid w:val="00176E4F"/>
    <w:rsid w:val="00185181"/>
    <w:rsid w:val="0018546B"/>
    <w:rsid w:val="001973B6"/>
    <w:rsid w:val="001A6A3E"/>
    <w:rsid w:val="001A7976"/>
    <w:rsid w:val="001A7B6D"/>
    <w:rsid w:val="001B34D5"/>
    <w:rsid w:val="001B513A"/>
    <w:rsid w:val="001C0A75"/>
    <w:rsid w:val="001C1306"/>
    <w:rsid w:val="001D5C1B"/>
    <w:rsid w:val="001D7CFD"/>
    <w:rsid w:val="001D7F5B"/>
    <w:rsid w:val="001E16BC"/>
    <w:rsid w:val="001E16DF"/>
    <w:rsid w:val="001F2BA5"/>
    <w:rsid w:val="001F308D"/>
    <w:rsid w:val="001F443F"/>
    <w:rsid w:val="00201A7C"/>
    <w:rsid w:val="0021210E"/>
    <w:rsid w:val="0021414D"/>
    <w:rsid w:val="00223124"/>
    <w:rsid w:val="00224A40"/>
    <w:rsid w:val="00227304"/>
    <w:rsid w:val="00233143"/>
    <w:rsid w:val="00234444"/>
    <w:rsid w:val="00237642"/>
    <w:rsid w:val="00242293"/>
    <w:rsid w:val="00244EA7"/>
    <w:rsid w:val="00246FCF"/>
    <w:rsid w:val="00247BF2"/>
    <w:rsid w:val="00262FC3"/>
    <w:rsid w:val="0026394F"/>
    <w:rsid w:val="00276DB8"/>
    <w:rsid w:val="00282664"/>
    <w:rsid w:val="00285FB8"/>
    <w:rsid w:val="00292448"/>
    <w:rsid w:val="00294712"/>
    <w:rsid w:val="00296307"/>
    <w:rsid w:val="002970C3"/>
    <w:rsid w:val="00297E85"/>
    <w:rsid w:val="002A4CD3"/>
    <w:rsid w:val="002A4D5C"/>
    <w:rsid w:val="002A6CC4"/>
    <w:rsid w:val="002C3682"/>
    <w:rsid w:val="002C55E9"/>
    <w:rsid w:val="002C5FDF"/>
    <w:rsid w:val="002D0C8B"/>
    <w:rsid w:val="002D330A"/>
    <w:rsid w:val="002E193E"/>
    <w:rsid w:val="00302D8C"/>
    <w:rsid w:val="0030690B"/>
    <w:rsid w:val="00310A6A"/>
    <w:rsid w:val="0031352E"/>
    <w:rsid w:val="003144E6"/>
    <w:rsid w:val="00325014"/>
    <w:rsid w:val="00337E82"/>
    <w:rsid w:val="00346FDC"/>
    <w:rsid w:val="0035000E"/>
    <w:rsid w:val="00350BB1"/>
    <w:rsid w:val="00351E06"/>
    <w:rsid w:val="00352C83"/>
    <w:rsid w:val="00353538"/>
    <w:rsid w:val="003576BB"/>
    <w:rsid w:val="00361188"/>
    <w:rsid w:val="00366805"/>
    <w:rsid w:val="0037067D"/>
    <w:rsid w:val="003807E1"/>
    <w:rsid w:val="00385FD4"/>
    <w:rsid w:val="0038735B"/>
    <w:rsid w:val="003916D1"/>
    <w:rsid w:val="003A21F0"/>
    <w:rsid w:val="003A277F"/>
    <w:rsid w:val="003A3F6E"/>
    <w:rsid w:val="003A58BA"/>
    <w:rsid w:val="003A5AE7"/>
    <w:rsid w:val="003A7221"/>
    <w:rsid w:val="003B3493"/>
    <w:rsid w:val="003B5562"/>
    <w:rsid w:val="003C1363"/>
    <w:rsid w:val="003C13AE"/>
    <w:rsid w:val="003C38BD"/>
    <w:rsid w:val="003D2E73"/>
    <w:rsid w:val="003E074F"/>
    <w:rsid w:val="003E72B6"/>
    <w:rsid w:val="003E7BBE"/>
    <w:rsid w:val="003F19D2"/>
    <w:rsid w:val="004062A5"/>
    <w:rsid w:val="004127E3"/>
    <w:rsid w:val="004259E8"/>
    <w:rsid w:val="0043212E"/>
    <w:rsid w:val="00434366"/>
    <w:rsid w:val="00434ECE"/>
    <w:rsid w:val="00444423"/>
    <w:rsid w:val="00452F36"/>
    <w:rsid w:val="00452F3E"/>
    <w:rsid w:val="00455166"/>
    <w:rsid w:val="004640AE"/>
    <w:rsid w:val="004679E3"/>
    <w:rsid w:val="00475172"/>
    <w:rsid w:val="004758B0"/>
    <w:rsid w:val="004832D2"/>
    <w:rsid w:val="00485559"/>
    <w:rsid w:val="00486AA9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09A"/>
    <w:rsid w:val="00506E32"/>
    <w:rsid w:val="00520E9A"/>
    <w:rsid w:val="005248C1"/>
    <w:rsid w:val="00526134"/>
    <w:rsid w:val="00534601"/>
    <w:rsid w:val="005405B2"/>
    <w:rsid w:val="00540D0B"/>
    <w:rsid w:val="005427C8"/>
    <w:rsid w:val="005446D1"/>
    <w:rsid w:val="00556C4C"/>
    <w:rsid w:val="00557369"/>
    <w:rsid w:val="00564ADD"/>
    <w:rsid w:val="005708EB"/>
    <w:rsid w:val="00573B52"/>
    <w:rsid w:val="00575BC6"/>
    <w:rsid w:val="00583902"/>
    <w:rsid w:val="005877B7"/>
    <w:rsid w:val="00596AC1"/>
    <w:rsid w:val="005A1D70"/>
    <w:rsid w:val="005A3AA5"/>
    <w:rsid w:val="005A6C9C"/>
    <w:rsid w:val="005A71D8"/>
    <w:rsid w:val="005A74DC"/>
    <w:rsid w:val="005B5146"/>
    <w:rsid w:val="005C1952"/>
    <w:rsid w:val="005C42B6"/>
    <w:rsid w:val="005D1AFD"/>
    <w:rsid w:val="005E3F78"/>
    <w:rsid w:val="005E51E6"/>
    <w:rsid w:val="005F027A"/>
    <w:rsid w:val="005F33CC"/>
    <w:rsid w:val="005F771F"/>
    <w:rsid w:val="00602E00"/>
    <w:rsid w:val="006121D4"/>
    <w:rsid w:val="00613B49"/>
    <w:rsid w:val="00616845"/>
    <w:rsid w:val="00620E8E"/>
    <w:rsid w:val="006322D4"/>
    <w:rsid w:val="00633CFE"/>
    <w:rsid w:val="00634FCA"/>
    <w:rsid w:val="006359E8"/>
    <w:rsid w:val="00643D1B"/>
    <w:rsid w:val="006452B8"/>
    <w:rsid w:val="00652E62"/>
    <w:rsid w:val="00686A49"/>
    <w:rsid w:val="00687B62"/>
    <w:rsid w:val="00690C44"/>
    <w:rsid w:val="006969D9"/>
    <w:rsid w:val="006A2B68"/>
    <w:rsid w:val="006B149F"/>
    <w:rsid w:val="006C2F32"/>
    <w:rsid w:val="006C7123"/>
    <w:rsid w:val="006D38C3"/>
    <w:rsid w:val="006D3BBF"/>
    <w:rsid w:val="006D4448"/>
    <w:rsid w:val="006D4831"/>
    <w:rsid w:val="006D6DFD"/>
    <w:rsid w:val="006E1D9C"/>
    <w:rsid w:val="006E2C4D"/>
    <w:rsid w:val="006E42FE"/>
    <w:rsid w:val="006E7AE2"/>
    <w:rsid w:val="006F0798"/>
    <w:rsid w:val="006F0D02"/>
    <w:rsid w:val="006F10FE"/>
    <w:rsid w:val="006F3622"/>
    <w:rsid w:val="006F68AF"/>
    <w:rsid w:val="00703D69"/>
    <w:rsid w:val="00705EEC"/>
    <w:rsid w:val="00707741"/>
    <w:rsid w:val="007134FE"/>
    <w:rsid w:val="00715794"/>
    <w:rsid w:val="00715BB3"/>
    <w:rsid w:val="007165E5"/>
    <w:rsid w:val="00717385"/>
    <w:rsid w:val="007217B1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7B9"/>
    <w:rsid w:val="0076523B"/>
    <w:rsid w:val="00770120"/>
    <w:rsid w:val="00771B60"/>
    <w:rsid w:val="00781D77"/>
    <w:rsid w:val="00783549"/>
    <w:rsid w:val="007860B7"/>
    <w:rsid w:val="00786DC8"/>
    <w:rsid w:val="00787CF1"/>
    <w:rsid w:val="007A300D"/>
    <w:rsid w:val="007C2CC3"/>
    <w:rsid w:val="007D5A78"/>
    <w:rsid w:val="007E3BD1"/>
    <w:rsid w:val="007E5099"/>
    <w:rsid w:val="007F1563"/>
    <w:rsid w:val="007F1EB2"/>
    <w:rsid w:val="007F44DB"/>
    <w:rsid w:val="007F5A8B"/>
    <w:rsid w:val="00801CE6"/>
    <w:rsid w:val="008048EA"/>
    <w:rsid w:val="0081456A"/>
    <w:rsid w:val="00817D51"/>
    <w:rsid w:val="00823530"/>
    <w:rsid w:val="00823FF4"/>
    <w:rsid w:val="00830267"/>
    <w:rsid w:val="008306E7"/>
    <w:rsid w:val="00834253"/>
    <w:rsid w:val="00834BC8"/>
    <w:rsid w:val="00837FD6"/>
    <w:rsid w:val="00847B60"/>
    <w:rsid w:val="00850243"/>
    <w:rsid w:val="00851BE5"/>
    <w:rsid w:val="008545EB"/>
    <w:rsid w:val="00856117"/>
    <w:rsid w:val="00865011"/>
    <w:rsid w:val="00871ACD"/>
    <w:rsid w:val="00886790"/>
    <w:rsid w:val="008908DE"/>
    <w:rsid w:val="00895953"/>
    <w:rsid w:val="008A12ED"/>
    <w:rsid w:val="008A39D3"/>
    <w:rsid w:val="008B1C6A"/>
    <w:rsid w:val="008B2107"/>
    <w:rsid w:val="008B2C77"/>
    <w:rsid w:val="008B4AD2"/>
    <w:rsid w:val="008B6088"/>
    <w:rsid w:val="008B6EC5"/>
    <w:rsid w:val="008B7138"/>
    <w:rsid w:val="008C1279"/>
    <w:rsid w:val="008C1FE4"/>
    <w:rsid w:val="008E260C"/>
    <w:rsid w:val="008E39BE"/>
    <w:rsid w:val="008E5ACF"/>
    <w:rsid w:val="008E62EC"/>
    <w:rsid w:val="008F290D"/>
    <w:rsid w:val="008F2968"/>
    <w:rsid w:val="008F32F6"/>
    <w:rsid w:val="00905AB3"/>
    <w:rsid w:val="00906E90"/>
    <w:rsid w:val="00916CD7"/>
    <w:rsid w:val="00920927"/>
    <w:rsid w:val="00921B38"/>
    <w:rsid w:val="00923720"/>
    <w:rsid w:val="009278C9"/>
    <w:rsid w:val="00932CD7"/>
    <w:rsid w:val="00935B39"/>
    <w:rsid w:val="00944C09"/>
    <w:rsid w:val="009509D1"/>
    <w:rsid w:val="009527CB"/>
    <w:rsid w:val="00953835"/>
    <w:rsid w:val="00960F6C"/>
    <w:rsid w:val="00965839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599C"/>
    <w:rsid w:val="009F0DCC"/>
    <w:rsid w:val="009F11CA"/>
    <w:rsid w:val="00A0695B"/>
    <w:rsid w:val="00A13052"/>
    <w:rsid w:val="00A216A8"/>
    <w:rsid w:val="00A223A6"/>
    <w:rsid w:val="00A321DF"/>
    <w:rsid w:val="00A5092E"/>
    <w:rsid w:val="00A554D6"/>
    <w:rsid w:val="00A56E14"/>
    <w:rsid w:val="00A6476B"/>
    <w:rsid w:val="00A72712"/>
    <w:rsid w:val="00A75538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3ED"/>
    <w:rsid w:val="00AE1ED9"/>
    <w:rsid w:val="00AE32CB"/>
    <w:rsid w:val="00AF0F01"/>
    <w:rsid w:val="00AF3957"/>
    <w:rsid w:val="00B12013"/>
    <w:rsid w:val="00B22C67"/>
    <w:rsid w:val="00B34AF9"/>
    <w:rsid w:val="00B3508F"/>
    <w:rsid w:val="00B443EE"/>
    <w:rsid w:val="00B560C8"/>
    <w:rsid w:val="00B57FEA"/>
    <w:rsid w:val="00B61150"/>
    <w:rsid w:val="00B65BC7"/>
    <w:rsid w:val="00B746B9"/>
    <w:rsid w:val="00B848D4"/>
    <w:rsid w:val="00B865B4"/>
    <w:rsid w:val="00B865B7"/>
    <w:rsid w:val="00B87384"/>
    <w:rsid w:val="00B87B26"/>
    <w:rsid w:val="00B9606C"/>
    <w:rsid w:val="00BA1CB1"/>
    <w:rsid w:val="00BA4178"/>
    <w:rsid w:val="00BA482D"/>
    <w:rsid w:val="00BA652B"/>
    <w:rsid w:val="00BA6E25"/>
    <w:rsid w:val="00BB23F4"/>
    <w:rsid w:val="00BC5075"/>
    <w:rsid w:val="00BC5419"/>
    <w:rsid w:val="00BD16FC"/>
    <w:rsid w:val="00BD3B0F"/>
    <w:rsid w:val="00BF1D4C"/>
    <w:rsid w:val="00BF3F0A"/>
    <w:rsid w:val="00C1279D"/>
    <w:rsid w:val="00C143C3"/>
    <w:rsid w:val="00C1739B"/>
    <w:rsid w:val="00C17E47"/>
    <w:rsid w:val="00C21ADE"/>
    <w:rsid w:val="00C26067"/>
    <w:rsid w:val="00C30A29"/>
    <w:rsid w:val="00C317DC"/>
    <w:rsid w:val="00C370A4"/>
    <w:rsid w:val="00C437C9"/>
    <w:rsid w:val="00C578E9"/>
    <w:rsid w:val="00C70626"/>
    <w:rsid w:val="00C72860"/>
    <w:rsid w:val="00C73582"/>
    <w:rsid w:val="00C73B90"/>
    <w:rsid w:val="00C742EC"/>
    <w:rsid w:val="00C926F2"/>
    <w:rsid w:val="00C959FD"/>
    <w:rsid w:val="00C968A7"/>
    <w:rsid w:val="00C96AF3"/>
    <w:rsid w:val="00C97CCC"/>
    <w:rsid w:val="00CA0274"/>
    <w:rsid w:val="00CB746F"/>
    <w:rsid w:val="00CC451E"/>
    <w:rsid w:val="00CD4E9D"/>
    <w:rsid w:val="00CD4F4D"/>
    <w:rsid w:val="00CE3F8C"/>
    <w:rsid w:val="00CE6071"/>
    <w:rsid w:val="00CE733C"/>
    <w:rsid w:val="00CE7D19"/>
    <w:rsid w:val="00CF0CF5"/>
    <w:rsid w:val="00CF2B3E"/>
    <w:rsid w:val="00CF796F"/>
    <w:rsid w:val="00D0201F"/>
    <w:rsid w:val="00D02B81"/>
    <w:rsid w:val="00D03685"/>
    <w:rsid w:val="00D07D4E"/>
    <w:rsid w:val="00D11171"/>
    <w:rsid w:val="00D115AA"/>
    <w:rsid w:val="00D145BE"/>
    <w:rsid w:val="00D14F8D"/>
    <w:rsid w:val="00D15956"/>
    <w:rsid w:val="00D20C57"/>
    <w:rsid w:val="00D25D16"/>
    <w:rsid w:val="00D2707F"/>
    <w:rsid w:val="00D32124"/>
    <w:rsid w:val="00D46469"/>
    <w:rsid w:val="00D54C76"/>
    <w:rsid w:val="00D57FF1"/>
    <w:rsid w:val="00D67C78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081A"/>
    <w:rsid w:val="00DF5608"/>
    <w:rsid w:val="00E06599"/>
    <w:rsid w:val="00E238E6"/>
    <w:rsid w:val="00E35064"/>
    <w:rsid w:val="00E3681D"/>
    <w:rsid w:val="00E40225"/>
    <w:rsid w:val="00E44930"/>
    <w:rsid w:val="00E501F0"/>
    <w:rsid w:val="00E6166D"/>
    <w:rsid w:val="00E63124"/>
    <w:rsid w:val="00E664E3"/>
    <w:rsid w:val="00E72D31"/>
    <w:rsid w:val="00E91BFF"/>
    <w:rsid w:val="00E92933"/>
    <w:rsid w:val="00E94FAD"/>
    <w:rsid w:val="00EA1249"/>
    <w:rsid w:val="00EA5942"/>
    <w:rsid w:val="00EA632E"/>
    <w:rsid w:val="00EA7BB1"/>
    <w:rsid w:val="00EB0AA4"/>
    <w:rsid w:val="00EB5C88"/>
    <w:rsid w:val="00EC0469"/>
    <w:rsid w:val="00EE0D76"/>
    <w:rsid w:val="00EF01F8"/>
    <w:rsid w:val="00EF40EF"/>
    <w:rsid w:val="00EF47FE"/>
    <w:rsid w:val="00EF7B9A"/>
    <w:rsid w:val="00F069BD"/>
    <w:rsid w:val="00F12847"/>
    <w:rsid w:val="00F1480E"/>
    <w:rsid w:val="00F1497D"/>
    <w:rsid w:val="00F16AAC"/>
    <w:rsid w:val="00F33FF2"/>
    <w:rsid w:val="00F42804"/>
    <w:rsid w:val="00F438FC"/>
    <w:rsid w:val="00F5616F"/>
    <w:rsid w:val="00F56451"/>
    <w:rsid w:val="00F56827"/>
    <w:rsid w:val="00F62866"/>
    <w:rsid w:val="00F65EF0"/>
    <w:rsid w:val="00F66564"/>
    <w:rsid w:val="00F71651"/>
    <w:rsid w:val="00F73544"/>
    <w:rsid w:val="00F76191"/>
    <w:rsid w:val="00F76CC6"/>
    <w:rsid w:val="00F8223F"/>
    <w:rsid w:val="00F83D7C"/>
    <w:rsid w:val="00F93E8D"/>
    <w:rsid w:val="00FB232E"/>
    <w:rsid w:val="00FC7C35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A632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C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062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319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787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63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09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33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20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41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83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6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485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181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42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Series/F2009L0347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Series/C1960A0006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23E79-6689-4F69-B989-9EE05E092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B8750D-0E30-40D8-91AD-9FC3BDB0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64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9</cp:revision>
  <cp:lastPrinted>2016-05-27T05:21:00Z</cp:lastPrinted>
  <dcterms:created xsi:type="dcterms:W3CDTF">2019-03-21T06:07:00Z</dcterms:created>
  <dcterms:modified xsi:type="dcterms:W3CDTF">2019-05-14T02:08:00Z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