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4AFB2"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2F6239FF" w14:textId="77777777" w:rsidTr="0035000E">
        <w:tc>
          <w:tcPr>
            <w:tcW w:w="2689" w:type="dxa"/>
          </w:tcPr>
          <w:p w14:paraId="55352A10" w14:textId="77777777" w:rsidR="00F1480E" w:rsidRPr="000754EC" w:rsidRDefault="00830267" w:rsidP="000754EC">
            <w:pPr>
              <w:pStyle w:val="SIText-Bold"/>
            </w:pPr>
            <w:r w:rsidRPr="00A326C2">
              <w:t>Release</w:t>
            </w:r>
          </w:p>
        </w:tc>
        <w:tc>
          <w:tcPr>
            <w:tcW w:w="7162" w:type="dxa"/>
          </w:tcPr>
          <w:p w14:paraId="739B7EF4" w14:textId="77777777" w:rsidR="00F1480E" w:rsidRPr="000754EC" w:rsidRDefault="00830267" w:rsidP="000754EC">
            <w:pPr>
              <w:pStyle w:val="SIText-Bold"/>
            </w:pPr>
            <w:r w:rsidRPr="00A326C2">
              <w:t>Comments</w:t>
            </w:r>
          </w:p>
        </w:tc>
      </w:tr>
      <w:tr w:rsidR="00F1480E" w14:paraId="31C1E389" w14:textId="77777777" w:rsidTr="0035000E">
        <w:tc>
          <w:tcPr>
            <w:tcW w:w="2689" w:type="dxa"/>
          </w:tcPr>
          <w:p w14:paraId="6657C014" w14:textId="193DC4BB" w:rsidR="00F1480E" w:rsidRPr="000754EC" w:rsidRDefault="00F1480E" w:rsidP="000754EC">
            <w:pPr>
              <w:pStyle w:val="SIText"/>
            </w:pPr>
            <w:r w:rsidRPr="00CC451E">
              <w:t>Release</w:t>
            </w:r>
            <w:r w:rsidR="00337E82" w:rsidRPr="000754EC">
              <w:t xml:space="preserve"> </w:t>
            </w:r>
            <w:r w:rsidR="007933B9">
              <w:t>1</w:t>
            </w:r>
          </w:p>
        </w:tc>
        <w:tc>
          <w:tcPr>
            <w:tcW w:w="7162" w:type="dxa"/>
          </w:tcPr>
          <w:p w14:paraId="4F70B44E" w14:textId="2925C736" w:rsidR="00F1480E" w:rsidRPr="000754EC" w:rsidRDefault="0035000E" w:rsidP="0035000E">
            <w:r w:rsidRPr="0035000E">
              <w:t>This version released with FBP Fo</w:t>
            </w:r>
            <w:r w:rsidR="008649C1">
              <w:t>od, Beverage and Pharmaceutical</w:t>
            </w:r>
            <w:r w:rsidRPr="0035000E">
              <w:t xml:space="preserve"> Training Package version </w:t>
            </w:r>
            <w:r w:rsidR="006F0130">
              <w:t>3</w:t>
            </w:r>
            <w:r w:rsidRPr="0035000E">
              <w:t>.0.</w:t>
            </w:r>
          </w:p>
        </w:tc>
      </w:tr>
    </w:tbl>
    <w:p w14:paraId="7642D8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8"/>
        <w:gridCol w:w="7080"/>
      </w:tblGrid>
      <w:tr w:rsidR="00F1480E" w:rsidRPr="00963A46" w14:paraId="2D6745FC" w14:textId="77777777" w:rsidTr="006F0130">
        <w:trPr>
          <w:tblHeader/>
        </w:trPr>
        <w:tc>
          <w:tcPr>
            <w:tcW w:w="1323" w:type="pct"/>
            <w:shd w:val="clear" w:color="auto" w:fill="auto"/>
          </w:tcPr>
          <w:p w14:paraId="7D740ABA" w14:textId="32E3079A" w:rsidR="00F1480E" w:rsidRPr="000754EC" w:rsidRDefault="006F0130" w:rsidP="000754EC">
            <w:pPr>
              <w:pStyle w:val="SIUNITCODE"/>
            </w:pPr>
            <w:r w:rsidRPr="002B05E2">
              <w:t>FBPFST4</w:t>
            </w:r>
            <w:r>
              <w:t>XX</w:t>
            </w:r>
            <w:r w:rsidR="00420674">
              <w:t>1</w:t>
            </w:r>
          </w:p>
        </w:tc>
        <w:tc>
          <w:tcPr>
            <w:tcW w:w="3677" w:type="pct"/>
            <w:shd w:val="clear" w:color="auto" w:fill="auto"/>
          </w:tcPr>
          <w:p w14:paraId="67CC8DC2" w14:textId="1A925A99" w:rsidR="00F1480E" w:rsidRPr="000754EC" w:rsidRDefault="00567039" w:rsidP="000754EC">
            <w:pPr>
              <w:pStyle w:val="SIUnittitle"/>
            </w:pPr>
            <w:r>
              <w:t>Interpret and respond to test results</w:t>
            </w:r>
          </w:p>
        </w:tc>
      </w:tr>
      <w:tr w:rsidR="00F1480E" w:rsidRPr="00963A46" w14:paraId="703F298C" w14:textId="77777777" w:rsidTr="006F0130">
        <w:tc>
          <w:tcPr>
            <w:tcW w:w="1323" w:type="pct"/>
            <w:shd w:val="clear" w:color="auto" w:fill="auto"/>
          </w:tcPr>
          <w:p w14:paraId="6DF4ADB6" w14:textId="77777777" w:rsidR="00F1480E" w:rsidRPr="000754EC" w:rsidRDefault="00FD557D" w:rsidP="000754EC">
            <w:pPr>
              <w:pStyle w:val="SIHeading2"/>
            </w:pPr>
            <w:r w:rsidRPr="00FD557D">
              <w:t>Application</w:t>
            </w:r>
          </w:p>
          <w:p w14:paraId="5EB8FECD" w14:textId="77777777" w:rsidR="00FD557D" w:rsidRPr="00923720" w:rsidRDefault="00FD557D" w:rsidP="000754EC">
            <w:pPr>
              <w:pStyle w:val="SIHeading2"/>
            </w:pPr>
          </w:p>
        </w:tc>
        <w:tc>
          <w:tcPr>
            <w:tcW w:w="3677" w:type="pct"/>
            <w:shd w:val="clear" w:color="auto" w:fill="auto"/>
          </w:tcPr>
          <w:p w14:paraId="52C46A6A" w14:textId="54335460" w:rsidR="00567039" w:rsidRDefault="002B05E2" w:rsidP="002B05E2">
            <w:pPr>
              <w:pStyle w:val="SIText"/>
            </w:pPr>
            <w:r w:rsidRPr="002B05E2">
              <w:t xml:space="preserve">This unit of competency describes the skills and knowledge required to </w:t>
            </w:r>
            <w:r w:rsidR="00567039">
              <w:t xml:space="preserve">interpret test results and make decisions about how to manage the production process in response to the results. </w:t>
            </w:r>
          </w:p>
          <w:p w14:paraId="661F0994" w14:textId="77777777" w:rsidR="008649C1" w:rsidRPr="002B05E2" w:rsidRDefault="008649C1" w:rsidP="002B05E2">
            <w:pPr>
              <w:pStyle w:val="SIText"/>
            </w:pPr>
          </w:p>
          <w:p w14:paraId="2C7843AE" w14:textId="18C846D0" w:rsidR="000E4C10" w:rsidRPr="000E4C10" w:rsidRDefault="000E4C10" w:rsidP="000E4C10">
            <w:pPr>
              <w:pStyle w:val="SIText"/>
            </w:pPr>
            <w:r w:rsidRPr="006F0130">
              <w:t xml:space="preserve">This unit applies to </w:t>
            </w:r>
            <w:r w:rsidRPr="000E4C10">
              <w:t>those workers who have responsibility for overseeing the production of food and/or beverages and the quality assurance requirements associated with those products.</w:t>
            </w:r>
          </w:p>
          <w:p w14:paraId="7AF010B3" w14:textId="77777777" w:rsidR="008649C1" w:rsidRPr="002B05E2" w:rsidRDefault="008649C1" w:rsidP="002B05E2">
            <w:pPr>
              <w:pStyle w:val="SIText"/>
            </w:pPr>
          </w:p>
          <w:p w14:paraId="454E8488" w14:textId="5E17E806" w:rsidR="00F1480E" w:rsidRPr="000754EC" w:rsidRDefault="008649C1">
            <w:bookmarkStart w:id="1" w:name="_Hlk488137121"/>
            <w:r w:rsidRPr="008649C1">
              <w:t>No occupational licensing or certification requirements apply to this unit at the time of publication. However, legislative and regulatory requirements for food processing exist so local requirements must be checked. All work must comply with Australian food safety standards and relevant codes of practice.</w:t>
            </w:r>
            <w:r w:rsidR="005C7887" w:rsidRPr="008649C1" w:rsidDel="005C7887">
              <w:t xml:space="preserve"> </w:t>
            </w:r>
            <w:bookmarkEnd w:id="1"/>
            <w:r w:rsidR="00310A6A" w:rsidRPr="000754EC">
              <w:br/>
            </w:r>
          </w:p>
        </w:tc>
      </w:tr>
      <w:tr w:rsidR="002B05E2" w:rsidRPr="00963A46" w14:paraId="4E9D5029" w14:textId="77777777" w:rsidTr="006F0130">
        <w:tc>
          <w:tcPr>
            <w:tcW w:w="1323" w:type="pct"/>
            <w:shd w:val="clear" w:color="auto" w:fill="auto"/>
          </w:tcPr>
          <w:p w14:paraId="4229DF63" w14:textId="77777777" w:rsidR="002B05E2" w:rsidRPr="002B05E2" w:rsidRDefault="002B05E2" w:rsidP="002B05E2">
            <w:pPr>
              <w:pStyle w:val="SIHeading2"/>
            </w:pPr>
            <w:r w:rsidRPr="002B05E2">
              <w:t>Prerequisite Unit</w:t>
            </w:r>
          </w:p>
        </w:tc>
        <w:tc>
          <w:tcPr>
            <w:tcW w:w="3677" w:type="pct"/>
            <w:shd w:val="clear" w:color="auto" w:fill="auto"/>
          </w:tcPr>
          <w:p w14:paraId="5B6BB8CC" w14:textId="77777777" w:rsidR="002B05E2" w:rsidRPr="002B05E2" w:rsidRDefault="002B05E2" w:rsidP="002B05E2">
            <w:pPr>
              <w:pStyle w:val="SIText"/>
            </w:pPr>
            <w:r w:rsidRPr="002B05E2">
              <w:t>Nil</w:t>
            </w:r>
          </w:p>
        </w:tc>
      </w:tr>
      <w:tr w:rsidR="002B05E2" w:rsidRPr="00963A46" w14:paraId="3B357866" w14:textId="77777777" w:rsidTr="006F0130">
        <w:tc>
          <w:tcPr>
            <w:tcW w:w="1323" w:type="pct"/>
            <w:shd w:val="clear" w:color="auto" w:fill="auto"/>
          </w:tcPr>
          <w:p w14:paraId="04191DE0" w14:textId="77777777" w:rsidR="002B05E2" w:rsidRPr="002B05E2" w:rsidRDefault="002B05E2" w:rsidP="002B05E2">
            <w:pPr>
              <w:pStyle w:val="SIHeading2"/>
            </w:pPr>
            <w:r w:rsidRPr="002B05E2">
              <w:t>Unit Sector</w:t>
            </w:r>
          </w:p>
        </w:tc>
        <w:tc>
          <w:tcPr>
            <w:tcW w:w="3677" w:type="pct"/>
            <w:shd w:val="clear" w:color="auto" w:fill="auto"/>
          </w:tcPr>
          <w:p w14:paraId="529BB9D8" w14:textId="77777777" w:rsidR="002B05E2" w:rsidRPr="002B05E2" w:rsidRDefault="002B05E2" w:rsidP="002B05E2">
            <w:pPr>
              <w:pStyle w:val="SIText"/>
            </w:pPr>
            <w:r w:rsidRPr="002B05E2">
              <w:t>Food science and technology (FST)</w:t>
            </w:r>
          </w:p>
        </w:tc>
      </w:tr>
    </w:tbl>
    <w:p w14:paraId="0D58AE3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449D7CF" w14:textId="77777777" w:rsidTr="00CA2922">
        <w:trPr>
          <w:cantSplit/>
          <w:tblHeader/>
        </w:trPr>
        <w:tc>
          <w:tcPr>
            <w:tcW w:w="1396" w:type="pct"/>
            <w:tcBorders>
              <w:bottom w:val="single" w:sz="4" w:space="0" w:color="C0C0C0"/>
            </w:tcBorders>
            <w:shd w:val="clear" w:color="auto" w:fill="auto"/>
          </w:tcPr>
          <w:p w14:paraId="1E20EAB9"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FD97426" w14:textId="77777777" w:rsidR="00F1480E" w:rsidRPr="000754EC" w:rsidRDefault="00FD557D" w:rsidP="000754EC">
            <w:pPr>
              <w:pStyle w:val="SIHeading2"/>
            </w:pPr>
            <w:r w:rsidRPr="00923720">
              <w:t>Performance Criteria</w:t>
            </w:r>
          </w:p>
        </w:tc>
      </w:tr>
      <w:tr w:rsidR="00F1480E" w:rsidRPr="00963A46" w14:paraId="53E3E865" w14:textId="77777777" w:rsidTr="00CA2922">
        <w:trPr>
          <w:cantSplit/>
          <w:tblHeader/>
        </w:trPr>
        <w:tc>
          <w:tcPr>
            <w:tcW w:w="1396" w:type="pct"/>
            <w:tcBorders>
              <w:top w:val="single" w:sz="4" w:space="0" w:color="C0C0C0"/>
            </w:tcBorders>
            <w:shd w:val="clear" w:color="auto" w:fill="auto"/>
          </w:tcPr>
          <w:p w14:paraId="1FE8D95F"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2E7DBB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2B05E2" w:rsidRPr="00963A46" w14:paraId="37CB14DC" w14:textId="77777777" w:rsidTr="00CA2922">
        <w:trPr>
          <w:cantSplit/>
        </w:trPr>
        <w:tc>
          <w:tcPr>
            <w:tcW w:w="1396" w:type="pct"/>
            <w:shd w:val="clear" w:color="auto" w:fill="auto"/>
          </w:tcPr>
          <w:p w14:paraId="69575563" w14:textId="1203CF8C" w:rsidR="002B05E2" w:rsidRPr="002B05E2" w:rsidRDefault="002B05E2" w:rsidP="002B05E2">
            <w:r w:rsidRPr="002B05E2">
              <w:t>1</w:t>
            </w:r>
            <w:r>
              <w:t xml:space="preserve">. </w:t>
            </w:r>
            <w:r w:rsidR="00567039">
              <w:t>R</w:t>
            </w:r>
            <w:r w:rsidR="003F564F">
              <w:t>eview</w:t>
            </w:r>
            <w:r w:rsidR="00567039">
              <w:t xml:space="preserve"> test results</w:t>
            </w:r>
          </w:p>
        </w:tc>
        <w:tc>
          <w:tcPr>
            <w:tcW w:w="3604" w:type="pct"/>
            <w:shd w:val="clear" w:color="auto" w:fill="auto"/>
          </w:tcPr>
          <w:p w14:paraId="5673A9FB" w14:textId="4BE185FD" w:rsidR="002B05E2" w:rsidRPr="002B05E2" w:rsidRDefault="002B05E2" w:rsidP="002B05E2">
            <w:r w:rsidRPr="002B05E2">
              <w:t>1.1</w:t>
            </w:r>
            <w:r>
              <w:t xml:space="preserve"> </w:t>
            </w:r>
            <w:r w:rsidR="003F564F">
              <w:t>Access and read</w:t>
            </w:r>
            <w:r w:rsidR="00C473E9">
              <w:t xml:space="preserve"> test results</w:t>
            </w:r>
          </w:p>
          <w:p w14:paraId="2E4CD50E" w14:textId="250A4EA2" w:rsidR="002B05E2" w:rsidRPr="002B05E2" w:rsidRDefault="002B05E2" w:rsidP="002B05E2">
            <w:r w:rsidRPr="002B05E2">
              <w:t>1.2</w:t>
            </w:r>
            <w:r>
              <w:t xml:space="preserve"> </w:t>
            </w:r>
            <w:r w:rsidR="00C473E9">
              <w:t xml:space="preserve">Compare test results to </w:t>
            </w:r>
            <w:r w:rsidR="00C473E9" w:rsidRPr="00C473E9">
              <w:t>reference standards and expectations</w:t>
            </w:r>
          </w:p>
          <w:p w14:paraId="54964FE1" w14:textId="2AEAFB23" w:rsidR="002B05E2" w:rsidRPr="002B05E2" w:rsidRDefault="002B05E2" w:rsidP="002B05E2">
            <w:r w:rsidRPr="002B05E2">
              <w:t>1.3</w:t>
            </w:r>
            <w:r>
              <w:t xml:space="preserve"> </w:t>
            </w:r>
            <w:r w:rsidRPr="002B05E2">
              <w:t xml:space="preserve">Identify </w:t>
            </w:r>
            <w:r w:rsidR="00C473E9">
              <w:t>trends in data and/or results</w:t>
            </w:r>
          </w:p>
          <w:p w14:paraId="258343C1" w14:textId="3F413B83" w:rsidR="002B05E2" w:rsidRPr="002B05E2" w:rsidRDefault="002B05E2" w:rsidP="002B05E2">
            <w:r w:rsidRPr="002B05E2">
              <w:t>1.4</w:t>
            </w:r>
            <w:r>
              <w:t xml:space="preserve"> </w:t>
            </w:r>
            <w:r w:rsidR="00C473E9">
              <w:t>Identify atypical results</w:t>
            </w:r>
          </w:p>
        </w:tc>
      </w:tr>
      <w:tr w:rsidR="002B05E2" w:rsidRPr="00963A46" w14:paraId="445CB900" w14:textId="77777777" w:rsidTr="00CA2922">
        <w:trPr>
          <w:cantSplit/>
        </w:trPr>
        <w:tc>
          <w:tcPr>
            <w:tcW w:w="1396" w:type="pct"/>
            <w:shd w:val="clear" w:color="auto" w:fill="auto"/>
          </w:tcPr>
          <w:p w14:paraId="04EC1C49" w14:textId="0D68A56C" w:rsidR="002B05E2" w:rsidRPr="002B05E2" w:rsidRDefault="002B05E2" w:rsidP="002B05E2">
            <w:r w:rsidRPr="002B05E2">
              <w:t>2</w:t>
            </w:r>
            <w:r>
              <w:t xml:space="preserve">. </w:t>
            </w:r>
            <w:r w:rsidR="00C473E9">
              <w:t>Source cause of atypical data</w:t>
            </w:r>
          </w:p>
        </w:tc>
        <w:tc>
          <w:tcPr>
            <w:tcW w:w="3604" w:type="pct"/>
            <w:shd w:val="clear" w:color="auto" w:fill="auto"/>
          </w:tcPr>
          <w:p w14:paraId="4FF7A083" w14:textId="2D818556" w:rsidR="00C473E9" w:rsidRDefault="002B05E2" w:rsidP="002B05E2">
            <w:r w:rsidRPr="002B05E2">
              <w:t>2.1</w:t>
            </w:r>
            <w:r>
              <w:t xml:space="preserve"> </w:t>
            </w:r>
            <w:r w:rsidR="00C473E9">
              <w:t>Identify range of possible causes</w:t>
            </w:r>
            <w:r w:rsidR="00593A53">
              <w:t xml:space="preserve"> for atypical results</w:t>
            </w:r>
          </w:p>
          <w:p w14:paraId="1272420D" w14:textId="35393956" w:rsidR="00FC578A" w:rsidRPr="002B05E2" w:rsidRDefault="00C473E9" w:rsidP="008F36F9">
            <w:r>
              <w:t xml:space="preserve">2.2 </w:t>
            </w:r>
            <w:r w:rsidRPr="00C473E9">
              <w:t>Gather data and other information to eliminate or confirm possible causes</w:t>
            </w:r>
          </w:p>
        </w:tc>
      </w:tr>
      <w:tr w:rsidR="002B05E2" w:rsidRPr="00963A46" w14:paraId="6009F456" w14:textId="77777777" w:rsidTr="00CA2922">
        <w:trPr>
          <w:cantSplit/>
        </w:trPr>
        <w:tc>
          <w:tcPr>
            <w:tcW w:w="1396" w:type="pct"/>
            <w:shd w:val="clear" w:color="auto" w:fill="auto"/>
          </w:tcPr>
          <w:p w14:paraId="34320B65" w14:textId="3967304D" w:rsidR="002B05E2" w:rsidRPr="002B05E2" w:rsidRDefault="002B05E2" w:rsidP="002B05E2">
            <w:r w:rsidRPr="002B05E2">
              <w:t>3</w:t>
            </w:r>
            <w:r>
              <w:t xml:space="preserve">. </w:t>
            </w:r>
            <w:r w:rsidR="00FC578A">
              <w:t>Act on results of analysis</w:t>
            </w:r>
          </w:p>
        </w:tc>
        <w:tc>
          <w:tcPr>
            <w:tcW w:w="3604" w:type="pct"/>
            <w:shd w:val="clear" w:color="auto" w:fill="auto"/>
          </w:tcPr>
          <w:p w14:paraId="63A0B432" w14:textId="517E70B3" w:rsidR="00FC578A" w:rsidRDefault="00FC578A" w:rsidP="00FC578A">
            <w:r>
              <w:t xml:space="preserve">3.1 </w:t>
            </w:r>
            <w:r w:rsidR="00593A53">
              <w:t xml:space="preserve">Determine options to correct processing of food and/or beverage </w:t>
            </w:r>
          </w:p>
          <w:p w14:paraId="087ED27B" w14:textId="44035F4C" w:rsidR="00FC578A" w:rsidRPr="00FC578A" w:rsidRDefault="00FC578A" w:rsidP="00FC578A">
            <w:r>
              <w:t xml:space="preserve">3.2 </w:t>
            </w:r>
            <w:r w:rsidR="00593A53">
              <w:t>Determine options to correct cause of atypical results</w:t>
            </w:r>
          </w:p>
          <w:p w14:paraId="29AA6BD4" w14:textId="77777777" w:rsidR="002B05E2" w:rsidRDefault="00FC578A" w:rsidP="00FC578A">
            <w:r>
              <w:t xml:space="preserve">3.3 </w:t>
            </w:r>
            <w:r w:rsidR="00593A53">
              <w:t>Select the most appropriate solution/s</w:t>
            </w:r>
          </w:p>
          <w:p w14:paraId="25E1D7DC" w14:textId="77777777" w:rsidR="00593A53" w:rsidRDefault="00593A53" w:rsidP="00FC578A">
            <w:r>
              <w:t xml:space="preserve">3.4 </w:t>
            </w:r>
            <w:proofErr w:type="gramStart"/>
            <w:r>
              <w:t>Take action</w:t>
            </w:r>
            <w:proofErr w:type="gramEnd"/>
            <w:r>
              <w:t xml:space="preserve"> to correct atypical results </w:t>
            </w:r>
          </w:p>
          <w:p w14:paraId="0BA1FA3F" w14:textId="1DD5BBDB" w:rsidR="00D47EE8" w:rsidRPr="002B05E2" w:rsidRDefault="00D47EE8" w:rsidP="00FC578A">
            <w:r>
              <w:t>3.5 Record actions taken in response to analysis</w:t>
            </w:r>
          </w:p>
        </w:tc>
      </w:tr>
    </w:tbl>
    <w:p w14:paraId="78EF82F2"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9C4E468" w14:textId="77777777" w:rsidTr="00CA2922">
        <w:trPr>
          <w:tblHeader/>
        </w:trPr>
        <w:tc>
          <w:tcPr>
            <w:tcW w:w="5000" w:type="pct"/>
            <w:gridSpan w:val="2"/>
          </w:tcPr>
          <w:p w14:paraId="177F79D9" w14:textId="77777777" w:rsidR="00F1480E" w:rsidRPr="000754EC" w:rsidRDefault="005F771F" w:rsidP="000754EC">
            <w:pPr>
              <w:pStyle w:val="SIHeading2"/>
            </w:pPr>
            <w:r>
              <w:br w:type="page"/>
            </w:r>
            <w:r w:rsidR="00FD557D" w:rsidRPr="00041E59">
              <w:t>F</w:t>
            </w:r>
            <w:r w:rsidR="00FD557D" w:rsidRPr="000754EC">
              <w:t>oundation Skills</w:t>
            </w:r>
          </w:p>
          <w:p w14:paraId="10723E18"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3E287DA" w14:textId="77777777" w:rsidTr="00CA2922">
        <w:trPr>
          <w:tblHeader/>
        </w:trPr>
        <w:tc>
          <w:tcPr>
            <w:tcW w:w="1396" w:type="pct"/>
          </w:tcPr>
          <w:p w14:paraId="617B1A68"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AB10390"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2B05E2" w:rsidRPr="00336FCA" w:rsidDel="00423CB2" w14:paraId="166C8F78" w14:textId="77777777" w:rsidTr="00CA2922">
        <w:tc>
          <w:tcPr>
            <w:tcW w:w="1396" w:type="pct"/>
          </w:tcPr>
          <w:p w14:paraId="40667299" w14:textId="35BEC7A0" w:rsidR="002B05E2" w:rsidRPr="002B05E2" w:rsidRDefault="00567039" w:rsidP="002B05E2">
            <w:pPr>
              <w:pStyle w:val="SIText"/>
            </w:pPr>
            <w:r>
              <w:t>Numeracy</w:t>
            </w:r>
            <w:r w:rsidR="00211F71">
              <w:t xml:space="preserve"> skills</w:t>
            </w:r>
          </w:p>
        </w:tc>
        <w:tc>
          <w:tcPr>
            <w:tcW w:w="3604" w:type="pct"/>
          </w:tcPr>
          <w:p w14:paraId="6EC7A30F" w14:textId="03F7FDA8" w:rsidR="000A5FF6" w:rsidRPr="000A5FF6" w:rsidRDefault="000A5FF6" w:rsidP="000A5FF6">
            <w:pPr>
              <w:pStyle w:val="SIBulletList1"/>
            </w:pPr>
            <w:r>
              <w:t>C</w:t>
            </w:r>
            <w:r w:rsidRPr="000A5FF6">
              <w:t>onvert units involving multiples and submultiples</w:t>
            </w:r>
          </w:p>
          <w:p w14:paraId="7BC77539" w14:textId="110FF6A6" w:rsidR="000A5FF6" w:rsidRPr="000A5FF6" w:rsidRDefault="000A5FF6" w:rsidP="000A5FF6">
            <w:pPr>
              <w:pStyle w:val="SIBulletList1"/>
            </w:pPr>
            <w:r>
              <w:t>Use f</w:t>
            </w:r>
            <w:r w:rsidRPr="000A5FF6">
              <w:t xml:space="preserve">ractions, decimals, proportions </w:t>
            </w:r>
            <w:r>
              <w:t>and</w:t>
            </w:r>
            <w:r w:rsidRPr="000A5FF6">
              <w:t xml:space="preserve"> percentages</w:t>
            </w:r>
            <w:r>
              <w:t xml:space="preserve"> to determine responses to results</w:t>
            </w:r>
          </w:p>
          <w:p w14:paraId="2DE918CC" w14:textId="5998686F" w:rsidR="000A5FF6" w:rsidRPr="000A5FF6" w:rsidRDefault="000A5FF6" w:rsidP="000A5FF6">
            <w:pPr>
              <w:pStyle w:val="SIBulletList1"/>
            </w:pPr>
            <w:bookmarkStart w:id="2" w:name="_Hlk534631281"/>
            <w:r>
              <w:t xml:space="preserve">Use </w:t>
            </w:r>
            <w:r w:rsidRPr="000A5FF6">
              <w:t xml:space="preserve">areas (m2) </w:t>
            </w:r>
            <w:r>
              <w:t xml:space="preserve">and </w:t>
            </w:r>
            <w:r w:rsidRPr="000A5FF6">
              <w:t>volumes (m</w:t>
            </w:r>
            <w:r w:rsidR="003F564F">
              <w:t>l</w:t>
            </w:r>
            <w:r w:rsidRPr="000A5FF6">
              <w:t xml:space="preserve">, L, m3) </w:t>
            </w:r>
            <w:r>
              <w:t>to describe product quantities</w:t>
            </w:r>
            <w:bookmarkEnd w:id="2"/>
          </w:p>
          <w:p w14:paraId="62692525" w14:textId="53E20FA0" w:rsidR="000A5FF6" w:rsidRPr="000A5FF6" w:rsidRDefault="000A5FF6" w:rsidP="000A5FF6">
            <w:pPr>
              <w:pStyle w:val="SIBulletList1"/>
            </w:pPr>
            <w:r>
              <w:t xml:space="preserve">Calculate </w:t>
            </w:r>
            <w:r w:rsidRPr="000A5FF6">
              <w:t>dose (mg), average mass, mass percentage, density, moisture, relative and absolute humidity</w:t>
            </w:r>
          </w:p>
          <w:p w14:paraId="76C2F0E0" w14:textId="237C3546" w:rsidR="000A5FF6" w:rsidRPr="000A5FF6" w:rsidRDefault="000A5FF6" w:rsidP="000A5FF6">
            <w:pPr>
              <w:pStyle w:val="SIBulletList1"/>
            </w:pPr>
            <w:r>
              <w:t xml:space="preserve">Determine </w:t>
            </w:r>
            <w:r w:rsidRPr="000A5FF6">
              <w:t>ratios, such as mass to mass, mass to volume and volume to volume percentages</w:t>
            </w:r>
          </w:p>
          <w:p w14:paraId="2F9FCBEB" w14:textId="21722728" w:rsidR="000A5FF6" w:rsidRPr="000A5FF6" w:rsidRDefault="000A5FF6" w:rsidP="000A5FF6">
            <w:pPr>
              <w:pStyle w:val="SIBulletList1"/>
            </w:pPr>
            <w:r>
              <w:t xml:space="preserve">Calculate </w:t>
            </w:r>
            <w:r w:rsidRPr="000A5FF6">
              <w:t>concentration, such as g/100mL, mg/L</w:t>
            </w:r>
            <w:r w:rsidR="003F564F">
              <w:t xml:space="preserve"> and </w:t>
            </w:r>
            <w:r w:rsidRPr="000A5FF6">
              <w:t>dilution m</w:t>
            </w:r>
            <w:r w:rsidR="003F564F">
              <w:t>l</w:t>
            </w:r>
            <w:r w:rsidRPr="000A5FF6">
              <w:t>/L</w:t>
            </w:r>
          </w:p>
          <w:p w14:paraId="5164786B" w14:textId="27D0F6FD" w:rsidR="002B05E2" w:rsidRPr="002B05E2" w:rsidRDefault="000A5FF6" w:rsidP="000A5FF6">
            <w:pPr>
              <w:pStyle w:val="SIBulletList1"/>
            </w:pPr>
            <w:r>
              <w:t xml:space="preserve">Calculate </w:t>
            </w:r>
            <w:r w:rsidRPr="000A5FF6">
              <w:t>food properties, such as % concentration (dry), % content of moisture, ash, fat, protein, alcohol, sulphur dioxide and trace metals.</w:t>
            </w:r>
          </w:p>
        </w:tc>
      </w:tr>
      <w:tr w:rsidR="00211F71" w:rsidRPr="00336FCA" w:rsidDel="00423CB2" w14:paraId="4AC8F27B" w14:textId="77777777" w:rsidTr="00CA2922">
        <w:tc>
          <w:tcPr>
            <w:tcW w:w="1396" w:type="pct"/>
          </w:tcPr>
          <w:p w14:paraId="7FFB036A" w14:textId="5CAA14C9" w:rsidR="00211F71" w:rsidRDefault="00211F71" w:rsidP="002B05E2">
            <w:pPr>
              <w:pStyle w:val="SIText"/>
            </w:pPr>
            <w:r>
              <w:t>Get the work done</w:t>
            </w:r>
          </w:p>
        </w:tc>
        <w:tc>
          <w:tcPr>
            <w:tcW w:w="3604" w:type="pct"/>
          </w:tcPr>
          <w:p w14:paraId="62A2EF72" w14:textId="77777777" w:rsidR="00211F71" w:rsidRDefault="00211F71">
            <w:pPr>
              <w:pStyle w:val="SIBulletList1"/>
            </w:pPr>
            <w:r>
              <w:t>Think through options to</w:t>
            </w:r>
            <w:r w:rsidR="000A5FF6">
              <w:t xml:space="preserve"> identify and</w:t>
            </w:r>
            <w:r>
              <w:t xml:space="preserve"> </w:t>
            </w:r>
            <w:r w:rsidR="000A5FF6">
              <w:t>respond to atypical results of tests</w:t>
            </w:r>
          </w:p>
          <w:p w14:paraId="5BBF08FE" w14:textId="050D315D" w:rsidR="000A5FF6" w:rsidRDefault="000A5FF6">
            <w:pPr>
              <w:pStyle w:val="SIBulletList1"/>
            </w:pPr>
            <w:r>
              <w:t xml:space="preserve">Trace and source obvious cause of artefact or malfunction </w:t>
            </w:r>
          </w:p>
        </w:tc>
      </w:tr>
    </w:tbl>
    <w:p w14:paraId="66F6EB3D" w14:textId="77777777" w:rsidR="00916CD7" w:rsidRDefault="00916CD7" w:rsidP="005F771F">
      <w:pPr>
        <w:pStyle w:val="SIText"/>
      </w:pPr>
    </w:p>
    <w:p w14:paraId="29AB768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57D49E97" w14:textId="77777777" w:rsidTr="00F33FF2">
        <w:tc>
          <w:tcPr>
            <w:tcW w:w="5000" w:type="pct"/>
            <w:gridSpan w:val="4"/>
          </w:tcPr>
          <w:p w14:paraId="31EFCE93" w14:textId="77777777" w:rsidR="00F1480E" w:rsidRPr="000754EC" w:rsidRDefault="00FD557D" w:rsidP="000754EC">
            <w:pPr>
              <w:pStyle w:val="SIHeading2"/>
            </w:pPr>
            <w:r w:rsidRPr="00923720">
              <w:t>U</w:t>
            </w:r>
            <w:r w:rsidRPr="000754EC">
              <w:t>nit Mapping Information</w:t>
            </w:r>
          </w:p>
        </w:tc>
      </w:tr>
      <w:tr w:rsidR="00F1480E" w14:paraId="22932556" w14:textId="77777777" w:rsidTr="00F33FF2">
        <w:tc>
          <w:tcPr>
            <w:tcW w:w="1028" w:type="pct"/>
          </w:tcPr>
          <w:p w14:paraId="12D4E1BF" w14:textId="77777777" w:rsidR="00F1480E" w:rsidRPr="000754EC" w:rsidRDefault="00F1480E" w:rsidP="000754EC">
            <w:pPr>
              <w:pStyle w:val="SIText-Bold"/>
            </w:pPr>
            <w:r w:rsidRPr="00923720">
              <w:t>Code and title current version</w:t>
            </w:r>
          </w:p>
        </w:tc>
        <w:tc>
          <w:tcPr>
            <w:tcW w:w="1105" w:type="pct"/>
          </w:tcPr>
          <w:p w14:paraId="0BE51C87" w14:textId="77777777" w:rsidR="00F1480E" w:rsidRPr="000754EC" w:rsidRDefault="00F1480E" w:rsidP="000754EC">
            <w:pPr>
              <w:pStyle w:val="SIText-Bold"/>
            </w:pPr>
            <w:r w:rsidRPr="00923720">
              <w:t>Code and title previous version</w:t>
            </w:r>
          </w:p>
        </w:tc>
        <w:tc>
          <w:tcPr>
            <w:tcW w:w="1251" w:type="pct"/>
          </w:tcPr>
          <w:p w14:paraId="6F842D19" w14:textId="77777777" w:rsidR="00F1480E" w:rsidRPr="000754EC" w:rsidRDefault="00F1480E" w:rsidP="000754EC">
            <w:pPr>
              <w:pStyle w:val="SIText-Bold"/>
            </w:pPr>
            <w:r w:rsidRPr="00923720">
              <w:t>Comments</w:t>
            </w:r>
          </w:p>
        </w:tc>
        <w:tc>
          <w:tcPr>
            <w:tcW w:w="1616" w:type="pct"/>
          </w:tcPr>
          <w:p w14:paraId="3CC311EA" w14:textId="77777777" w:rsidR="00F1480E" w:rsidRPr="000754EC" w:rsidRDefault="00F1480E" w:rsidP="000754EC">
            <w:pPr>
              <w:pStyle w:val="SIText-Bold"/>
            </w:pPr>
            <w:r w:rsidRPr="00923720">
              <w:t>Equivalence status</w:t>
            </w:r>
          </w:p>
        </w:tc>
      </w:tr>
      <w:tr w:rsidR="00291B7C" w14:paraId="670DEEEE" w14:textId="77777777" w:rsidTr="00F33FF2">
        <w:tc>
          <w:tcPr>
            <w:tcW w:w="1028" w:type="pct"/>
          </w:tcPr>
          <w:p w14:paraId="15A38AC3" w14:textId="77777777" w:rsidR="00420674" w:rsidRPr="00420674" w:rsidRDefault="00420674" w:rsidP="00420674">
            <w:pPr>
              <w:pStyle w:val="SIText"/>
            </w:pPr>
            <w:r w:rsidRPr="00420674">
              <w:t>FBPFST4XX1 Interpret and respond to test results</w:t>
            </w:r>
          </w:p>
          <w:p w14:paraId="40E589A1" w14:textId="4AA77796" w:rsidR="00291B7C" w:rsidRPr="00923720" w:rsidRDefault="00291B7C" w:rsidP="00291B7C">
            <w:pPr>
              <w:pStyle w:val="SIText"/>
            </w:pPr>
          </w:p>
        </w:tc>
        <w:tc>
          <w:tcPr>
            <w:tcW w:w="1105" w:type="pct"/>
          </w:tcPr>
          <w:p w14:paraId="40DDC1CD" w14:textId="77777777" w:rsidR="00291B7C" w:rsidRPr="00923720" w:rsidRDefault="00291B7C" w:rsidP="00291B7C">
            <w:pPr>
              <w:pStyle w:val="SIText"/>
            </w:pPr>
          </w:p>
        </w:tc>
        <w:tc>
          <w:tcPr>
            <w:tcW w:w="1251" w:type="pct"/>
          </w:tcPr>
          <w:p w14:paraId="1660A6EC" w14:textId="7EFEE0B2" w:rsidR="00291B7C" w:rsidRPr="00923720" w:rsidRDefault="00291B7C" w:rsidP="00291B7C">
            <w:pPr>
              <w:pStyle w:val="SIText"/>
            </w:pPr>
            <w:r>
              <w:t>New unit</w:t>
            </w:r>
          </w:p>
        </w:tc>
        <w:tc>
          <w:tcPr>
            <w:tcW w:w="1616" w:type="pct"/>
          </w:tcPr>
          <w:p w14:paraId="14F07039" w14:textId="0F317862" w:rsidR="00291B7C" w:rsidRPr="00923720" w:rsidRDefault="00291B7C" w:rsidP="00291B7C">
            <w:pPr>
              <w:pStyle w:val="SIText"/>
            </w:pPr>
            <w:r>
              <w:t>No equivalent unit</w:t>
            </w:r>
          </w:p>
        </w:tc>
      </w:tr>
    </w:tbl>
    <w:p w14:paraId="2855C4C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2CA723C3" w14:textId="77777777" w:rsidTr="0035000E">
        <w:tc>
          <w:tcPr>
            <w:tcW w:w="1049" w:type="pct"/>
            <w:shd w:val="clear" w:color="auto" w:fill="auto"/>
          </w:tcPr>
          <w:p w14:paraId="7D69BD7B" w14:textId="77777777" w:rsidR="00F1480E" w:rsidRPr="000754EC" w:rsidRDefault="00FD557D" w:rsidP="000754EC">
            <w:pPr>
              <w:pStyle w:val="SIHeading2"/>
            </w:pPr>
            <w:r w:rsidRPr="00CC451E">
              <w:t>L</w:t>
            </w:r>
            <w:r w:rsidRPr="000754EC">
              <w:t>inks</w:t>
            </w:r>
          </w:p>
        </w:tc>
        <w:tc>
          <w:tcPr>
            <w:tcW w:w="3951" w:type="pct"/>
            <w:shd w:val="clear" w:color="auto" w:fill="auto"/>
          </w:tcPr>
          <w:p w14:paraId="5C971FAD"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2313C99B" w14:textId="77777777" w:rsidR="00F1480E" w:rsidRDefault="00F1480E" w:rsidP="005F771F">
      <w:pPr>
        <w:pStyle w:val="SIText"/>
      </w:pPr>
    </w:p>
    <w:p w14:paraId="492A0A03"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0FC02076" w14:textId="77777777" w:rsidTr="00113678">
        <w:trPr>
          <w:tblHeader/>
        </w:trPr>
        <w:tc>
          <w:tcPr>
            <w:tcW w:w="1478" w:type="pct"/>
            <w:shd w:val="clear" w:color="auto" w:fill="auto"/>
          </w:tcPr>
          <w:p w14:paraId="6CCEF29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A3DCBCB" w14:textId="66B59C48" w:rsidR="00556C4C" w:rsidRPr="000754EC" w:rsidRDefault="00556C4C" w:rsidP="000754EC">
            <w:pPr>
              <w:pStyle w:val="SIUnittitle"/>
            </w:pPr>
            <w:r w:rsidRPr="00F56827">
              <w:t xml:space="preserve">Assessment requirements for </w:t>
            </w:r>
            <w:r w:rsidR="00567039">
              <w:t>FBPFST4XX</w:t>
            </w:r>
            <w:r w:rsidR="00420674">
              <w:t>1</w:t>
            </w:r>
            <w:r w:rsidR="00567039">
              <w:t xml:space="preserve"> Interpret and respond to test results</w:t>
            </w:r>
          </w:p>
        </w:tc>
      </w:tr>
      <w:tr w:rsidR="00556C4C" w:rsidRPr="00A55106" w14:paraId="0F36C3FA" w14:textId="77777777" w:rsidTr="00113678">
        <w:trPr>
          <w:tblHeader/>
        </w:trPr>
        <w:tc>
          <w:tcPr>
            <w:tcW w:w="5000" w:type="pct"/>
            <w:gridSpan w:val="2"/>
            <w:shd w:val="clear" w:color="auto" w:fill="auto"/>
          </w:tcPr>
          <w:p w14:paraId="58AA100E" w14:textId="77777777" w:rsidR="00556C4C" w:rsidRPr="000754EC" w:rsidRDefault="00D71E43" w:rsidP="000754EC">
            <w:pPr>
              <w:pStyle w:val="SIHeading2"/>
            </w:pPr>
            <w:r>
              <w:t>Performance E</w:t>
            </w:r>
            <w:r w:rsidRPr="000754EC">
              <w:t>vidence</w:t>
            </w:r>
          </w:p>
        </w:tc>
      </w:tr>
      <w:tr w:rsidR="00556C4C" w:rsidRPr="00067E1C" w14:paraId="401A71D1" w14:textId="77777777" w:rsidTr="00113678">
        <w:tc>
          <w:tcPr>
            <w:tcW w:w="5000" w:type="pct"/>
            <w:gridSpan w:val="2"/>
            <w:shd w:val="clear" w:color="auto" w:fill="auto"/>
          </w:tcPr>
          <w:p w14:paraId="43090DF6"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1DDA17F3" w14:textId="77777777" w:rsidR="00873AE2" w:rsidRDefault="007A300D" w:rsidP="000754EC">
            <w:pPr>
              <w:pStyle w:val="SIText"/>
            </w:pPr>
            <w:r w:rsidRPr="000754EC">
              <w:t xml:space="preserve">There must be evidence that the individual has </w:t>
            </w:r>
            <w:r w:rsidR="00567039">
              <w:t>accurately interpreted and suitably responded to</w:t>
            </w:r>
            <w:r w:rsidR="00682DA8">
              <w:t xml:space="preserve"> </w:t>
            </w:r>
            <w:r w:rsidR="00567039">
              <w:t>test results in a food production environment</w:t>
            </w:r>
            <w:r w:rsidR="00682DA8">
              <w:t xml:space="preserve">, </w:t>
            </w:r>
            <w:r w:rsidR="00873AE2">
              <w:t>including:</w:t>
            </w:r>
          </w:p>
          <w:p w14:paraId="0E44009E" w14:textId="3F6EFD3F" w:rsidR="00873AE2" w:rsidRDefault="00873AE2" w:rsidP="00873AE2">
            <w:pPr>
              <w:pStyle w:val="SIBulletList1"/>
            </w:pPr>
            <w:r>
              <w:t xml:space="preserve">at least </w:t>
            </w:r>
            <w:r w:rsidR="00B45DC6">
              <w:t>four</w:t>
            </w:r>
            <w:r>
              <w:t xml:space="preserve"> of the following test types:</w:t>
            </w:r>
          </w:p>
          <w:p w14:paraId="1EDE1418" w14:textId="77777777" w:rsidR="00873AE2" w:rsidRDefault="00873AE2" w:rsidP="00873AE2">
            <w:pPr>
              <w:pStyle w:val="SIBulletList2"/>
            </w:pPr>
            <w:r w:rsidRPr="00873AE2">
              <w:t>pH</w:t>
            </w:r>
          </w:p>
          <w:p w14:paraId="3108625E" w14:textId="77777777" w:rsidR="00873AE2" w:rsidRDefault="00873AE2" w:rsidP="00873AE2">
            <w:pPr>
              <w:pStyle w:val="SIBulletList2"/>
            </w:pPr>
            <w:r w:rsidRPr="00873AE2">
              <w:t>alcohol</w:t>
            </w:r>
          </w:p>
          <w:p w14:paraId="0358EA94" w14:textId="77777777" w:rsidR="00873AE2" w:rsidRDefault="00873AE2" w:rsidP="00873AE2">
            <w:pPr>
              <w:pStyle w:val="SIBulletList2"/>
            </w:pPr>
            <w:r w:rsidRPr="00873AE2">
              <w:t>bitterness</w:t>
            </w:r>
          </w:p>
          <w:p w14:paraId="65D20BAA" w14:textId="77777777" w:rsidR="00873AE2" w:rsidRDefault="00873AE2" w:rsidP="00873AE2">
            <w:pPr>
              <w:pStyle w:val="SIBulletList2"/>
            </w:pPr>
            <w:r w:rsidRPr="00873AE2">
              <w:t>colour</w:t>
            </w:r>
          </w:p>
          <w:p w14:paraId="62545EC7" w14:textId="77777777" w:rsidR="00873AE2" w:rsidRDefault="00873AE2" w:rsidP="00873AE2">
            <w:pPr>
              <w:pStyle w:val="SIBulletList2"/>
            </w:pPr>
            <w:r w:rsidRPr="00873AE2">
              <w:t>yeast count</w:t>
            </w:r>
          </w:p>
          <w:p w14:paraId="3ABEBE0D" w14:textId="3E9C673A" w:rsidR="00567039" w:rsidRDefault="00873AE2" w:rsidP="00873AE2">
            <w:pPr>
              <w:pStyle w:val="SIBulletList2"/>
            </w:pPr>
            <w:r>
              <w:t>moisture</w:t>
            </w:r>
          </w:p>
          <w:p w14:paraId="1130F7DC" w14:textId="33D066F9" w:rsidR="00B45DC6" w:rsidRDefault="00B45DC6" w:rsidP="00873AE2">
            <w:pPr>
              <w:pStyle w:val="SIBulletList2"/>
            </w:pPr>
            <w:r w:rsidRPr="00B45DC6">
              <w:t>vicinal diketones (VDKs)</w:t>
            </w:r>
          </w:p>
          <w:p w14:paraId="5D0B366C" w14:textId="2F56905E" w:rsidR="00B45DC6" w:rsidRDefault="00B45DC6" w:rsidP="00873AE2">
            <w:pPr>
              <w:pStyle w:val="SIBulletList2"/>
            </w:pPr>
            <w:r>
              <w:t>carbon dioxide (CO2) and nitrogen (N2)</w:t>
            </w:r>
          </w:p>
          <w:p w14:paraId="775CE2FF" w14:textId="140FA329" w:rsidR="00B45DC6" w:rsidRDefault="00B45DC6" w:rsidP="00873AE2">
            <w:pPr>
              <w:pStyle w:val="SIBulletList2"/>
            </w:pPr>
            <w:r>
              <w:t>dissolved oxygen (DO)</w:t>
            </w:r>
          </w:p>
          <w:p w14:paraId="6DF8475A" w14:textId="36F3252D" w:rsidR="00B45DC6" w:rsidRDefault="00B45DC6" w:rsidP="00873AE2">
            <w:pPr>
              <w:pStyle w:val="SIBulletList2"/>
            </w:pPr>
            <w:r>
              <w:t>total packed oxygen (TPO)</w:t>
            </w:r>
          </w:p>
          <w:p w14:paraId="28E5FB8D" w14:textId="530A9CBA" w:rsidR="00B45DC6" w:rsidRDefault="00650541" w:rsidP="00873AE2">
            <w:pPr>
              <w:pStyle w:val="SIBulletList2"/>
            </w:pPr>
            <w:r>
              <w:t>test type specific to food or beverage product</w:t>
            </w:r>
          </w:p>
          <w:p w14:paraId="1DCC3C57" w14:textId="77777777" w:rsidR="000A5FF6" w:rsidRDefault="00817B56" w:rsidP="000A5FF6">
            <w:pPr>
              <w:pStyle w:val="SIBulletList1"/>
            </w:pPr>
            <w:r>
              <w:t xml:space="preserve">performing </w:t>
            </w:r>
            <w:r w:rsidRPr="00817B56">
              <w:t xml:space="preserve">calculations </w:t>
            </w:r>
            <w:r w:rsidR="000A5FF6">
              <w:t>that include decimals and percentages, volume, ratios, dosage and concentration</w:t>
            </w:r>
          </w:p>
          <w:p w14:paraId="13ABDC8C" w14:textId="0E06AD06" w:rsidR="005C7887" w:rsidRDefault="000A5FF6" w:rsidP="000A5FF6">
            <w:pPr>
              <w:pStyle w:val="SIBulletList1"/>
            </w:pPr>
            <w:r>
              <w:t xml:space="preserve">recording actions carried out in </w:t>
            </w:r>
            <w:r w:rsidR="00C473E9">
              <w:t>response</w:t>
            </w:r>
            <w:r>
              <w:t xml:space="preserve"> to test results.</w:t>
            </w:r>
          </w:p>
          <w:p w14:paraId="01374338" w14:textId="5F45CBE4" w:rsidR="000A5FF6" w:rsidRPr="000754EC" w:rsidRDefault="000A5FF6" w:rsidP="000A5FF6">
            <w:pPr>
              <w:pStyle w:val="SIBulletList1"/>
              <w:numPr>
                <w:ilvl w:val="0"/>
                <w:numId w:val="0"/>
              </w:numPr>
              <w:ind w:left="357"/>
            </w:pPr>
          </w:p>
        </w:tc>
      </w:tr>
      <w:tr w:rsidR="00873AE2" w:rsidRPr="00067E1C" w14:paraId="132A94C1" w14:textId="77777777" w:rsidTr="00113678">
        <w:tc>
          <w:tcPr>
            <w:tcW w:w="5000" w:type="pct"/>
            <w:gridSpan w:val="2"/>
            <w:shd w:val="clear" w:color="auto" w:fill="auto"/>
          </w:tcPr>
          <w:p w14:paraId="28A3135D" w14:textId="77777777" w:rsidR="00873AE2" w:rsidRPr="000754EC" w:rsidRDefault="00873AE2" w:rsidP="000754EC">
            <w:pPr>
              <w:pStyle w:val="SIText"/>
            </w:pPr>
          </w:p>
        </w:tc>
      </w:tr>
    </w:tbl>
    <w:p w14:paraId="518D3AC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1FFCA06" w14:textId="77777777" w:rsidTr="00CA2922">
        <w:trPr>
          <w:tblHeader/>
        </w:trPr>
        <w:tc>
          <w:tcPr>
            <w:tcW w:w="5000" w:type="pct"/>
            <w:shd w:val="clear" w:color="auto" w:fill="auto"/>
          </w:tcPr>
          <w:p w14:paraId="321530D9" w14:textId="77777777" w:rsidR="00F1480E" w:rsidRPr="000754EC" w:rsidRDefault="00D71E43" w:rsidP="000754EC">
            <w:pPr>
              <w:pStyle w:val="SIHeading2"/>
            </w:pPr>
            <w:r w:rsidRPr="002C55E9">
              <w:t>K</w:t>
            </w:r>
            <w:r w:rsidRPr="000754EC">
              <w:t>nowledge Evidence</w:t>
            </w:r>
          </w:p>
        </w:tc>
      </w:tr>
      <w:tr w:rsidR="00F1480E" w:rsidRPr="00067E1C" w14:paraId="34F99957" w14:textId="77777777" w:rsidTr="00C473E9">
        <w:trPr>
          <w:trHeight w:val="3031"/>
        </w:trPr>
        <w:tc>
          <w:tcPr>
            <w:tcW w:w="5000" w:type="pct"/>
            <w:shd w:val="clear" w:color="auto" w:fill="auto"/>
          </w:tcPr>
          <w:p w14:paraId="7CF6362C"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11932122" w14:textId="4CC38C59" w:rsidR="00567039" w:rsidRPr="00567039" w:rsidRDefault="00567039" w:rsidP="000A5FF6">
            <w:pPr>
              <w:pStyle w:val="SIBulletList1"/>
            </w:pPr>
            <w:r w:rsidRPr="00567039">
              <w:t>purpose of tests performed as part of job role and principles of the standard methods/specifications used</w:t>
            </w:r>
          </w:p>
          <w:p w14:paraId="1F4B42D4" w14:textId="2B89E6EE" w:rsidR="00567039" w:rsidRDefault="00567039" w:rsidP="000A5FF6">
            <w:pPr>
              <w:pStyle w:val="SIBulletList1"/>
            </w:pPr>
            <w:r w:rsidRPr="00567039">
              <w:t>typical basic tests</w:t>
            </w:r>
            <w:r w:rsidR="00450B94">
              <w:t>, equipment</w:t>
            </w:r>
            <w:r w:rsidRPr="00567039">
              <w:t xml:space="preserve"> and methods</w:t>
            </w:r>
            <w:r w:rsidR="00873AE2">
              <w:t xml:space="preserve"> relevant to </w:t>
            </w:r>
            <w:r w:rsidR="00B45DC6">
              <w:t>product</w:t>
            </w:r>
          </w:p>
          <w:p w14:paraId="254F82D4" w14:textId="4D8052C7" w:rsidR="00567039" w:rsidRDefault="00567039" w:rsidP="000A5FF6">
            <w:pPr>
              <w:pStyle w:val="SIBulletList1"/>
            </w:pPr>
            <w:r w:rsidRPr="00567039">
              <w:t>measurements used for typical tests</w:t>
            </w:r>
          </w:p>
          <w:p w14:paraId="4EF47E86" w14:textId="1636DC4B" w:rsidR="00567039" w:rsidRPr="00567039" w:rsidRDefault="00567039" w:rsidP="000A5FF6">
            <w:pPr>
              <w:pStyle w:val="SIBulletList1"/>
            </w:pPr>
            <w:r>
              <w:t>acceptable parameters for typical test results</w:t>
            </w:r>
          </w:p>
          <w:p w14:paraId="12B4A3F9" w14:textId="77777777" w:rsidR="00567039" w:rsidRPr="00567039" w:rsidRDefault="00567039" w:rsidP="000A5FF6">
            <w:pPr>
              <w:pStyle w:val="SIBulletList1"/>
            </w:pPr>
            <w:r w:rsidRPr="00567039">
              <w:t>sources of uncertainty in measurement and methods for control</w:t>
            </w:r>
          </w:p>
          <w:p w14:paraId="37033457" w14:textId="77777777" w:rsidR="00567039" w:rsidRPr="00567039" w:rsidRDefault="00567039" w:rsidP="000A5FF6">
            <w:pPr>
              <w:pStyle w:val="SIBulletList1"/>
            </w:pPr>
            <w:r w:rsidRPr="00567039">
              <w:t>workplace and/or legal traceability requirements</w:t>
            </w:r>
          </w:p>
          <w:p w14:paraId="10FBBFE1" w14:textId="6E0EEBFE" w:rsidR="00567039" w:rsidRPr="00567039" w:rsidRDefault="00567039" w:rsidP="000A5FF6">
            <w:pPr>
              <w:pStyle w:val="SIBulletList1"/>
            </w:pPr>
            <w:r w:rsidRPr="00567039">
              <w:t>interpretation of test result</w:t>
            </w:r>
            <w:r>
              <w:t>s</w:t>
            </w:r>
            <w:r w:rsidRPr="00567039">
              <w:t>, including simple calculations</w:t>
            </w:r>
          </w:p>
          <w:p w14:paraId="05FF7A0B" w14:textId="725F50A3" w:rsidR="00682DA8" w:rsidRPr="000754EC" w:rsidRDefault="00682DA8" w:rsidP="000A5FF6">
            <w:pPr>
              <w:pStyle w:val="SIBulletList1"/>
            </w:pPr>
            <w:r>
              <w:t>methods for controlling atypical outcomes of tests</w:t>
            </w:r>
            <w:r w:rsidR="000A5FF6">
              <w:t>, relevant to process</w:t>
            </w:r>
            <w:r w:rsidR="00817B56">
              <w:t>.</w:t>
            </w:r>
          </w:p>
        </w:tc>
      </w:tr>
    </w:tbl>
    <w:p w14:paraId="667C71E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4F9B4BE5" w14:textId="77777777" w:rsidTr="00CA2922">
        <w:trPr>
          <w:tblHeader/>
        </w:trPr>
        <w:tc>
          <w:tcPr>
            <w:tcW w:w="5000" w:type="pct"/>
            <w:shd w:val="clear" w:color="auto" w:fill="auto"/>
          </w:tcPr>
          <w:p w14:paraId="4F2B6A56" w14:textId="77777777" w:rsidR="00F1480E" w:rsidRPr="000754EC" w:rsidRDefault="00D71E43" w:rsidP="000754EC">
            <w:pPr>
              <w:pStyle w:val="SIHeading2"/>
            </w:pPr>
            <w:r w:rsidRPr="002C55E9">
              <w:t>A</w:t>
            </w:r>
            <w:r w:rsidRPr="000754EC">
              <w:t>ssessment Conditions</w:t>
            </w:r>
          </w:p>
        </w:tc>
      </w:tr>
      <w:tr w:rsidR="00F1480E" w:rsidRPr="00A55106" w14:paraId="2B50ED6E" w14:textId="77777777" w:rsidTr="00CA2922">
        <w:tc>
          <w:tcPr>
            <w:tcW w:w="5000" w:type="pct"/>
            <w:shd w:val="clear" w:color="auto" w:fill="auto"/>
          </w:tcPr>
          <w:p w14:paraId="13BB6430"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6FF50AB" w14:textId="77777777" w:rsidR="004E6741" w:rsidRPr="000754EC" w:rsidRDefault="001D7F5B" w:rsidP="000754EC">
            <w:pPr>
              <w:pStyle w:val="SIBulletList1"/>
            </w:pPr>
            <w:r w:rsidRPr="000754EC">
              <w:t>p</w:t>
            </w:r>
            <w:r w:rsidR="004E6741" w:rsidRPr="000754EC">
              <w:t>hysical conditions</w:t>
            </w:r>
            <w:r w:rsidRPr="000754EC">
              <w:t>:</w:t>
            </w:r>
          </w:p>
          <w:p w14:paraId="5BC671AF" w14:textId="56516A69"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291B7C">
              <w:t>food or beverage production</w:t>
            </w:r>
            <w:r w:rsidR="002C3682" w:rsidRPr="002C3682">
              <w:t xml:space="preserve"> </w:t>
            </w:r>
            <w:r w:rsidR="005C7887">
              <w:t>environment</w:t>
            </w:r>
          </w:p>
          <w:p w14:paraId="67041DF0"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551C56FA" w14:textId="0A4413E8" w:rsidR="005C7887" w:rsidRPr="002B05E2" w:rsidRDefault="005C7887" w:rsidP="002B05E2">
            <w:pPr>
              <w:pStyle w:val="SIBulletList2"/>
              <w:rPr>
                <w:rFonts w:eastAsia="Calibri"/>
              </w:rPr>
            </w:pPr>
            <w:r>
              <w:t xml:space="preserve">food </w:t>
            </w:r>
            <w:r w:rsidR="00291B7C">
              <w:t xml:space="preserve">or beverage </w:t>
            </w:r>
            <w:r w:rsidR="00682DA8">
              <w:t>process</w:t>
            </w:r>
            <w:r w:rsidR="00291B7C">
              <w:t xml:space="preserve"> </w:t>
            </w:r>
            <w:r w:rsidR="00682DA8">
              <w:t>test results</w:t>
            </w:r>
            <w:r w:rsidR="00291B7C">
              <w:t>.</w:t>
            </w:r>
          </w:p>
          <w:p w14:paraId="46EAFA3B" w14:textId="77777777" w:rsidR="0021210E" w:rsidRDefault="0021210E" w:rsidP="000754EC">
            <w:pPr>
              <w:pStyle w:val="SIText"/>
            </w:pPr>
          </w:p>
          <w:p w14:paraId="3F8E8020"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58D62B88" w14:textId="77777777" w:rsidR="00F1480E" w:rsidRPr="000754EC" w:rsidRDefault="00F1480E" w:rsidP="0035000E">
            <w:pPr>
              <w:pStyle w:val="SIBulletList2"/>
              <w:numPr>
                <w:ilvl w:val="0"/>
                <w:numId w:val="0"/>
              </w:numPr>
              <w:rPr>
                <w:rFonts w:eastAsia="Calibri"/>
              </w:rPr>
            </w:pPr>
          </w:p>
        </w:tc>
      </w:tr>
    </w:tbl>
    <w:p w14:paraId="5AB1537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55D3397" w14:textId="77777777" w:rsidTr="004679E3">
        <w:tc>
          <w:tcPr>
            <w:tcW w:w="990" w:type="pct"/>
            <w:shd w:val="clear" w:color="auto" w:fill="auto"/>
          </w:tcPr>
          <w:p w14:paraId="5FDB4F59" w14:textId="77777777" w:rsidR="00F1480E" w:rsidRPr="000754EC" w:rsidRDefault="00D71E43" w:rsidP="000754EC">
            <w:pPr>
              <w:pStyle w:val="SIHeading2"/>
            </w:pPr>
            <w:r w:rsidRPr="002C55E9">
              <w:t>L</w:t>
            </w:r>
            <w:r w:rsidRPr="000754EC">
              <w:t>inks</w:t>
            </w:r>
          </w:p>
        </w:tc>
        <w:tc>
          <w:tcPr>
            <w:tcW w:w="4010" w:type="pct"/>
            <w:shd w:val="clear" w:color="auto" w:fill="auto"/>
          </w:tcPr>
          <w:p w14:paraId="7B7FEABC"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13912D75"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F8E49" w14:textId="77777777" w:rsidR="00346744" w:rsidRDefault="00346744" w:rsidP="00BF3F0A">
      <w:r>
        <w:separator/>
      </w:r>
    </w:p>
    <w:p w14:paraId="167240BE" w14:textId="77777777" w:rsidR="00346744" w:rsidRDefault="00346744"/>
  </w:endnote>
  <w:endnote w:type="continuationSeparator" w:id="0">
    <w:p w14:paraId="4F57933F" w14:textId="77777777" w:rsidR="00346744" w:rsidRDefault="00346744" w:rsidP="00BF3F0A">
      <w:r>
        <w:continuationSeparator/>
      </w:r>
    </w:p>
    <w:p w14:paraId="6DB8C7D4" w14:textId="77777777" w:rsidR="00346744" w:rsidRDefault="00346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730CA066" w14:textId="50D9A44B"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4273B">
          <w:rPr>
            <w:noProof/>
          </w:rPr>
          <w:t>3</w:t>
        </w:r>
        <w:r w:rsidRPr="000754EC">
          <w:fldChar w:fldCharType="end"/>
        </w:r>
      </w:p>
      <w:p w14:paraId="467267FC"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2E0BFD0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0FFDB" w14:textId="77777777" w:rsidR="00346744" w:rsidRDefault="00346744" w:rsidP="00BF3F0A">
      <w:r>
        <w:separator/>
      </w:r>
    </w:p>
    <w:p w14:paraId="4AC4519F" w14:textId="77777777" w:rsidR="00346744" w:rsidRDefault="00346744"/>
  </w:footnote>
  <w:footnote w:type="continuationSeparator" w:id="0">
    <w:p w14:paraId="79C53241" w14:textId="77777777" w:rsidR="00346744" w:rsidRDefault="00346744" w:rsidP="00BF3F0A">
      <w:r>
        <w:continuationSeparator/>
      </w:r>
    </w:p>
    <w:p w14:paraId="1D25EC50" w14:textId="77777777" w:rsidR="00346744" w:rsidRDefault="00346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1F08C" w14:textId="55C2741C" w:rsidR="009C2650" w:rsidRPr="002B05E2" w:rsidRDefault="002D5DB0" w:rsidP="002B05E2">
    <w:pPr>
      <w:pStyle w:val="SIText"/>
    </w:pPr>
    <w:sdt>
      <w:sdtPr>
        <w:id w:val="-150133647"/>
        <w:docPartObj>
          <w:docPartGallery w:val="Watermarks"/>
          <w:docPartUnique/>
        </w:docPartObj>
      </w:sdtPr>
      <w:sdtEndPr/>
      <w:sdtContent>
        <w:r>
          <w:pict w14:anchorId="3A1C6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B05E2" w:rsidRPr="002B05E2">
      <w:t>FBPFST4</w:t>
    </w:r>
    <w:r w:rsidR="006F0130">
      <w:t>XX</w:t>
    </w:r>
    <w:r w:rsidR="00420674">
      <w:t>1</w:t>
    </w:r>
    <w:r w:rsidR="002B05E2" w:rsidRPr="002B05E2">
      <w:t xml:space="preserve"> </w:t>
    </w:r>
    <w:r w:rsidR="00567039">
      <w:t>Interpret and respond to test results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2A763782"/>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882F6A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A01D8B"/>
    <w:multiLevelType w:val="multilevel"/>
    <w:tmpl w:val="42C03D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6AB1113"/>
    <w:multiLevelType w:val="multilevel"/>
    <w:tmpl w:val="868E5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1" w15:restartNumberingAfterBreak="0">
    <w:nsid w:val="14006951"/>
    <w:multiLevelType w:val="multilevel"/>
    <w:tmpl w:val="294E20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020FD3"/>
    <w:multiLevelType w:val="multilevel"/>
    <w:tmpl w:val="7824A3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9467173"/>
    <w:multiLevelType w:val="multilevel"/>
    <w:tmpl w:val="1BF28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D90C3D"/>
    <w:multiLevelType w:val="multilevel"/>
    <w:tmpl w:val="4FA6E5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9" w15:restartNumberingAfterBreak="0">
    <w:nsid w:val="50AB7A18"/>
    <w:multiLevelType w:val="multilevel"/>
    <w:tmpl w:val="773824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743EA1"/>
    <w:multiLevelType w:val="multilevel"/>
    <w:tmpl w:val="AFC47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3D5136"/>
    <w:multiLevelType w:val="multilevel"/>
    <w:tmpl w:val="719843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2C3971"/>
    <w:multiLevelType w:val="hybridMultilevel"/>
    <w:tmpl w:val="ECCAA27A"/>
    <w:lvl w:ilvl="0" w:tplc="4A865494">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10"/>
  </w:num>
  <w:num w:numId="3">
    <w:abstractNumId w:val="7"/>
  </w:num>
  <w:num w:numId="4">
    <w:abstractNumId w:val="24"/>
  </w:num>
  <w:num w:numId="5">
    <w:abstractNumId w:val="3"/>
  </w:num>
  <w:num w:numId="6">
    <w:abstractNumId w:val="13"/>
  </w:num>
  <w:num w:numId="7">
    <w:abstractNumId w:val="5"/>
  </w:num>
  <w:num w:numId="8">
    <w:abstractNumId w:val="0"/>
  </w:num>
  <w:num w:numId="9">
    <w:abstractNumId w:val="23"/>
  </w:num>
  <w:num w:numId="10">
    <w:abstractNumId w:val="16"/>
  </w:num>
  <w:num w:numId="11">
    <w:abstractNumId w:val="22"/>
  </w:num>
  <w:num w:numId="12">
    <w:abstractNumId w:val="18"/>
  </w:num>
  <w:num w:numId="13">
    <w:abstractNumId w:val="25"/>
  </w:num>
  <w:num w:numId="14">
    <w:abstractNumId w:val="8"/>
  </w:num>
  <w:num w:numId="15">
    <w:abstractNumId w:val="9"/>
  </w:num>
  <w:num w:numId="16">
    <w:abstractNumId w:val="27"/>
  </w:num>
  <w:num w:numId="17">
    <w:abstractNumId w:val="18"/>
  </w:num>
  <w:num w:numId="18">
    <w:abstractNumId w:val="26"/>
  </w:num>
  <w:num w:numId="19">
    <w:abstractNumId w:val="2"/>
  </w:num>
  <w:num w:numId="20">
    <w:abstractNumId w:val="18"/>
  </w:num>
  <w:num w:numId="21">
    <w:abstractNumId w:val="1"/>
  </w:num>
  <w:num w:numId="22">
    <w:abstractNumId w:val="11"/>
  </w:num>
  <w:num w:numId="23">
    <w:abstractNumId w:val="20"/>
  </w:num>
  <w:num w:numId="24">
    <w:abstractNumId w:val="6"/>
  </w:num>
  <w:num w:numId="25">
    <w:abstractNumId w:val="15"/>
  </w:num>
  <w:num w:numId="26">
    <w:abstractNumId w:val="4"/>
  </w:num>
  <w:num w:numId="27">
    <w:abstractNumId w:val="21"/>
  </w:num>
  <w:num w:numId="28">
    <w:abstractNumId w:val="19"/>
  </w:num>
  <w:num w:numId="29">
    <w:abstractNumId w:val="12"/>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B45"/>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A5FF6"/>
    <w:rsid w:val="000B4894"/>
    <w:rsid w:val="000C149A"/>
    <w:rsid w:val="000C224E"/>
    <w:rsid w:val="000E25E6"/>
    <w:rsid w:val="000E2C86"/>
    <w:rsid w:val="000E4C10"/>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1F71"/>
    <w:rsid w:val="0021210E"/>
    <w:rsid w:val="0021414D"/>
    <w:rsid w:val="00223124"/>
    <w:rsid w:val="00233143"/>
    <w:rsid w:val="00234444"/>
    <w:rsid w:val="00242293"/>
    <w:rsid w:val="00244EA7"/>
    <w:rsid w:val="00262FC3"/>
    <w:rsid w:val="0026394F"/>
    <w:rsid w:val="0026727B"/>
    <w:rsid w:val="00276DB8"/>
    <w:rsid w:val="00282664"/>
    <w:rsid w:val="00285FB8"/>
    <w:rsid w:val="00291B7C"/>
    <w:rsid w:val="002970C3"/>
    <w:rsid w:val="002A4CD3"/>
    <w:rsid w:val="002A6CC4"/>
    <w:rsid w:val="002B05E2"/>
    <w:rsid w:val="002C3682"/>
    <w:rsid w:val="002C55E9"/>
    <w:rsid w:val="002D0C8B"/>
    <w:rsid w:val="002D330A"/>
    <w:rsid w:val="002D5DB0"/>
    <w:rsid w:val="002E193E"/>
    <w:rsid w:val="00310A6A"/>
    <w:rsid w:val="003144E6"/>
    <w:rsid w:val="00337E82"/>
    <w:rsid w:val="00346744"/>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3F564F"/>
    <w:rsid w:val="00401D2C"/>
    <w:rsid w:val="004127E3"/>
    <w:rsid w:val="00420674"/>
    <w:rsid w:val="0043212E"/>
    <w:rsid w:val="00434366"/>
    <w:rsid w:val="00434ECE"/>
    <w:rsid w:val="00444423"/>
    <w:rsid w:val="00450B94"/>
    <w:rsid w:val="00452F3E"/>
    <w:rsid w:val="004640AE"/>
    <w:rsid w:val="004679E3"/>
    <w:rsid w:val="00475172"/>
    <w:rsid w:val="004758B0"/>
    <w:rsid w:val="004832D2"/>
    <w:rsid w:val="00485559"/>
    <w:rsid w:val="004A142B"/>
    <w:rsid w:val="004A3860"/>
    <w:rsid w:val="004A44E8"/>
    <w:rsid w:val="004A7706"/>
    <w:rsid w:val="004B0E79"/>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3B"/>
    <w:rsid w:val="005427C8"/>
    <w:rsid w:val="005446D1"/>
    <w:rsid w:val="00556C4C"/>
    <w:rsid w:val="00557369"/>
    <w:rsid w:val="00564ADD"/>
    <w:rsid w:val="00567039"/>
    <w:rsid w:val="005708EB"/>
    <w:rsid w:val="00575BC6"/>
    <w:rsid w:val="00583902"/>
    <w:rsid w:val="00585C41"/>
    <w:rsid w:val="00593A53"/>
    <w:rsid w:val="005A1D70"/>
    <w:rsid w:val="005A3AA5"/>
    <w:rsid w:val="005A6C9C"/>
    <w:rsid w:val="005A74DC"/>
    <w:rsid w:val="005B5146"/>
    <w:rsid w:val="005C7887"/>
    <w:rsid w:val="005D1AFD"/>
    <w:rsid w:val="005E3346"/>
    <w:rsid w:val="005E51E6"/>
    <w:rsid w:val="005F027A"/>
    <w:rsid w:val="005F33CC"/>
    <w:rsid w:val="005F771F"/>
    <w:rsid w:val="006121D4"/>
    <w:rsid w:val="00613B49"/>
    <w:rsid w:val="00616845"/>
    <w:rsid w:val="00620E8E"/>
    <w:rsid w:val="00633CFE"/>
    <w:rsid w:val="00634FCA"/>
    <w:rsid w:val="00643D1B"/>
    <w:rsid w:val="006452B8"/>
    <w:rsid w:val="00650541"/>
    <w:rsid w:val="00652E62"/>
    <w:rsid w:val="00682DA8"/>
    <w:rsid w:val="00686A49"/>
    <w:rsid w:val="00687B62"/>
    <w:rsid w:val="00690C44"/>
    <w:rsid w:val="006969D9"/>
    <w:rsid w:val="006A2B68"/>
    <w:rsid w:val="006C2F32"/>
    <w:rsid w:val="006D38C3"/>
    <w:rsid w:val="006D4448"/>
    <w:rsid w:val="006D6DFD"/>
    <w:rsid w:val="006E2C4D"/>
    <w:rsid w:val="006E42FE"/>
    <w:rsid w:val="006F0130"/>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5B58"/>
    <w:rsid w:val="00757005"/>
    <w:rsid w:val="00761DBE"/>
    <w:rsid w:val="0076523B"/>
    <w:rsid w:val="007703B0"/>
    <w:rsid w:val="00770C61"/>
    <w:rsid w:val="00771B60"/>
    <w:rsid w:val="00781D77"/>
    <w:rsid w:val="00783549"/>
    <w:rsid w:val="007860B7"/>
    <w:rsid w:val="00786DC8"/>
    <w:rsid w:val="007933B9"/>
    <w:rsid w:val="007A300D"/>
    <w:rsid w:val="007A75E8"/>
    <w:rsid w:val="007D5A78"/>
    <w:rsid w:val="007E3BD1"/>
    <w:rsid w:val="007F1563"/>
    <w:rsid w:val="007F1EB2"/>
    <w:rsid w:val="007F44DB"/>
    <w:rsid w:val="007F5A8B"/>
    <w:rsid w:val="00817B56"/>
    <w:rsid w:val="00817D51"/>
    <w:rsid w:val="00823530"/>
    <w:rsid w:val="00823FF4"/>
    <w:rsid w:val="00830267"/>
    <w:rsid w:val="008306E7"/>
    <w:rsid w:val="00834BC8"/>
    <w:rsid w:val="00837FD6"/>
    <w:rsid w:val="00847B60"/>
    <w:rsid w:val="00850243"/>
    <w:rsid w:val="00851BE5"/>
    <w:rsid w:val="008545EB"/>
    <w:rsid w:val="008649C1"/>
    <w:rsid w:val="00865011"/>
    <w:rsid w:val="00873AE2"/>
    <w:rsid w:val="00886790"/>
    <w:rsid w:val="008908DE"/>
    <w:rsid w:val="008A12ED"/>
    <w:rsid w:val="008A39D3"/>
    <w:rsid w:val="008A50C7"/>
    <w:rsid w:val="008B2C77"/>
    <w:rsid w:val="008B4AD2"/>
    <w:rsid w:val="008B7138"/>
    <w:rsid w:val="008E260C"/>
    <w:rsid w:val="008E39BE"/>
    <w:rsid w:val="008E62EC"/>
    <w:rsid w:val="008F1CF3"/>
    <w:rsid w:val="008F32F6"/>
    <w:rsid w:val="008F36F9"/>
    <w:rsid w:val="008F6291"/>
    <w:rsid w:val="00916CD7"/>
    <w:rsid w:val="00920927"/>
    <w:rsid w:val="00921B38"/>
    <w:rsid w:val="00923720"/>
    <w:rsid w:val="009278C9"/>
    <w:rsid w:val="00932CD7"/>
    <w:rsid w:val="00944C09"/>
    <w:rsid w:val="00951E53"/>
    <w:rsid w:val="009527CB"/>
    <w:rsid w:val="00953835"/>
    <w:rsid w:val="00960F6C"/>
    <w:rsid w:val="00970747"/>
    <w:rsid w:val="009A5900"/>
    <w:rsid w:val="009A6E6C"/>
    <w:rsid w:val="009A6F3F"/>
    <w:rsid w:val="009B331A"/>
    <w:rsid w:val="009C2650"/>
    <w:rsid w:val="009C3603"/>
    <w:rsid w:val="009D15E2"/>
    <w:rsid w:val="009D15FE"/>
    <w:rsid w:val="009D5D2C"/>
    <w:rsid w:val="009F0DCC"/>
    <w:rsid w:val="009F11CA"/>
    <w:rsid w:val="009F7289"/>
    <w:rsid w:val="00A0695B"/>
    <w:rsid w:val="00A13052"/>
    <w:rsid w:val="00A216A8"/>
    <w:rsid w:val="00A223A6"/>
    <w:rsid w:val="00A27F9C"/>
    <w:rsid w:val="00A5092E"/>
    <w:rsid w:val="00A554D6"/>
    <w:rsid w:val="00A56E14"/>
    <w:rsid w:val="00A6476B"/>
    <w:rsid w:val="00A72712"/>
    <w:rsid w:val="00A76C6C"/>
    <w:rsid w:val="00A87356"/>
    <w:rsid w:val="00A92DD1"/>
    <w:rsid w:val="00AA5338"/>
    <w:rsid w:val="00AB1B8E"/>
    <w:rsid w:val="00AC0696"/>
    <w:rsid w:val="00AC4C98"/>
    <w:rsid w:val="00AC5F6B"/>
    <w:rsid w:val="00AC633F"/>
    <w:rsid w:val="00AD3896"/>
    <w:rsid w:val="00AD5B47"/>
    <w:rsid w:val="00AE1ED9"/>
    <w:rsid w:val="00AE32CB"/>
    <w:rsid w:val="00AF3957"/>
    <w:rsid w:val="00B12013"/>
    <w:rsid w:val="00B22C67"/>
    <w:rsid w:val="00B3508F"/>
    <w:rsid w:val="00B443EE"/>
    <w:rsid w:val="00B45DC6"/>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473E9"/>
    <w:rsid w:val="00C578E9"/>
    <w:rsid w:val="00C6520F"/>
    <w:rsid w:val="00C70626"/>
    <w:rsid w:val="00C72860"/>
    <w:rsid w:val="00C73582"/>
    <w:rsid w:val="00C73B90"/>
    <w:rsid w:val="00C742EC"/>
    <w:rsid w:val="00C77B45"/>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47EE8"/>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B0AA4"/>
    <w:rsid w:val="00EB25A6"/>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C461F"/>
    <w:rsid w:val="00FC578A"/>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5E71C70"/>
  <w15:docId w15:val="{B8F25568-C769-48A6-B256-0BF00DDF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 w:type="paragraph" w:styleId="BodyText">
    <w:name w:val="Body Text"/>
    <w:basedOn w:val="Normal"/>
    <w:link w:val="BodyTextChar"/>
    <w:uiPriority w:val="99"/>
    <w:semiHidden/>
    <w:unhideWhenUsed/>
    <w:locked/>
    <w:rsid w:val="008649C1"/>
    <w:pPr>
      <w:spacing w:after="120"/>
    </w:pPr>
  </w:style>
  <w:style w:type="character" w:customStyle="1" w:styleId="BodyTextChar">
    <w:name w:val="Body Text Char"/>
    <w:basedOn w:val="DefaultParagraphFont"/>
    <w:link w:val="BodyText"/>
    <w:uiPriority w:val="99"/>
    <w:semiHidden/>
    <w:rsid w:val="008649C1"/>
    <w:rPr>
      <w:rFonts w:ascii="Arial" w:eastAsia="Times New Roman" w:hAnsi="Arial" w:cs="Times New Roman"/>
      <w:sz w:val="20"/>
      <w:lang w:eastAsia="en-AU"/>
    </w:rPr>
  </w:style>
  <w:style w:type="paragraph" w:styleId="ListBullet">
    <w:name w:val="List Bullet"/>
    <w:basedOn w:val="Normal"/>
    <w:uiPriority w:val="99"/>
    <w:semiHidden/>
    <w:unhideWhenUsed/>
    <w:locked/>
    <w:rsid w:val="00FC461F"/>
    <w:pPr>
      <w:numPr>
        <w:numId w:val="19"/>
      </w:numPr>
      <w:contextualSpacing/>
    </w:pPr>
  </w:style>
  <w:style w:type="paragraph" w:styleId="ListBullet2">
    <w:name w:val="List Bullet 2"/>
    <w:basedOn w:val="Normal"/>
    <w:uiPriority w:val="99"/>
    <w:semiHidden/>
    <w:unhideWhenUsed/>
    <w:locked/>
    <w:rsid w:val="00FC461F"/>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53878">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401412443">
      <w:bodyDiv w:val="1"/>
      <w:marLeft w:val="0"/>
      <w:marRight w:val="0"/>
      <w:marTop w:val="0"/>
      <w:marBottom w:val="0"/>
      <w:divBdr>
        <w:top w:val="none" w:sz="0" w:space="0" w:color="auto"/>
        <w:left w:val="none" w:sz="0" w:space="0" w:color="auto"/>
        <w:bottom w:val="none" w:sz="0" w:space="0" w:color="auto"/>
        <w:right w:val="none" w:sz="0" w:space="0" w:color="auto"/>
      </w:divBdr>
    </w:div>
    <w:div w:id="448620767">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531191631">
      <w:bodyDiv w:val="1"/>
      <w:marLeft w:val="0"/>
      <w:marRight w:val="0"/>
      <w:marTop w:val="0"/>
      <w:marBottom w:val="0"/>
      <w:divBdr>
        <w:top w:val="none" w:sz="0" w:space="0" w:color="auto"/>
        <w:left w:val="none" w:sz="0" w:space="0" w:color="auto"/>
        <w:bottom w:val="none" w:sz="0" w:space="0" w:color="auto"/>
        <w:right w:val="none" w:sz="0" w:space="0" w:color="auto"/>
      </w:divBdr>
    </w:div>
    <w:div w:id="564799636">
      <w:bodyDiv w:val="1"/>
      <w:marLeft w:val="0"/>
      <w:marRight w:val="0"/>
      <w:marTop w:val="0"/>
      <w:marBottom w:val="0"/>
      <w:divBdr>
        <w:top w:val="none" w:sz="0" w:space="0" w:color="auto"/>
        <w:left w:val="none" w:sz="0" w:space="0" w:color="auto"/>
        <w:bottom w:val="none" w:sz="0" w:space="0" w:color="auto"/>
        <w:right w:val="none" w:sz="0" w:space="0" w:color="auto"/>
      </w:divBdr>
    </w:div>
    <w:div w:id="606892575">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707030009">
      <w:bodyDiv w:val="1"/>
      <w:marLeft w:val="0"/>
      <w:marRight w:val="0"/>
      <w:marTop w:val="0"/>
      <w:marBottom w:val="0"/>
      <w:divBdr>
        <w:top w:val="none" w:sz="0" w:space="0" w:color="auto"/>
        <w:left w:val="none" w:sz="0" w:space="0" w:color="auto"/>
        <w:bottom w:val="none" w:sz="0" w:space="0" w:color="auto"/>
        <w:right w:val="none" w:sz="0" w:space="0" w:color="auto"/>
      </w:divBdr>
    </w:div>
    <w:div w:id="76115078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112286555">
      <w:bodyDiv w:val="1"/>
      <w:marLeft w:val="0"/>
      <w:marRight w:val="0"/>
      <w:marTop w:val="0"/>
      <w:marBottom w:val="0"/>
      <w:divBdr>
        <w:top w:val="none" w:sz="0" w:space="0" w:color="auto"/>
        <w:left w:val="none" w:sz="0" w:space="0" w:color="auto"/>
        <w:bottom w:val="none" w:sz="0" w:space="0" w:color="auto"/>
        <w:right w:val="none" w:sz="0" w:space="0" w:color="auto"/>
      </w:divBdr>
    </w:div>
    <w:div w:id="1159151522">
      <w:bodyDiv w:val="1"/>
      <w:marLeft w:val="0"/>
      <w:marRight w:val="0"/>
      <w:marTop w:val="0"/>
      <w:marBottom w:val="0"/>
      <w:divBdr>
        <w:top w:val="none" w:sz="0" w:space="0" w:color="auto"/>
        <w:left w:val="none" w:sz="0" w:space="0" w:color="auto"/>
        <w:bottom w:val="none" w:sz="0" w:space="0" w:color="auto"/>
        <w:right w:val="none" w:sz="0" w:space="0" w:color="auto"/>
      </w:divBdr>
    </w:div>
    <w:div w:id="1278829032">
      <w:bodyDiv w:val="1"/>
      <w:marLeft w:val="0"/>
      <w:marRight w:val="0"/>
      <w:marTop w:val="0"/>
      <w:marBottom w:val="0"/>
      <w:divBdr>
        <w:top w:val="none" w:sz="0" w:space="0" w:color="auto"/>
        <w:left w:val="none" w:sz="0" w:space="0" w:color="auto"/>
        <w:bottom w:val="none" w:sz="0" w:space="0" w:color="auto"/>
        <w:right w:val="none" w:sz="0" w:space="0" w:color="auto"/>
      </w:divBdr>
    </w:div>
    <w:div w:id="197128169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B8B678EBC438489F6EAE1E83B16B0F" ma:contentTypeVersion="" ma:contentTypeDescription="Create a new document." ma:contentTypeScope="" ma:versionID="def2717d9661df780ef6a2c56c016043">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documentManagement/types"/>
    <ds:schemaRef ds:uri="4d074fc5-4881-4904-900d-cdf408c29254"/>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96C4D1C-7CA8-432B-8E61-959168DF0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524EAC-F522-4B62-8465-5D9658D10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TEM.SkillsImpact.UnitAndAR.dotx</Template>
  <TotalTime>141</TotalTime>
  <Pages>3</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14</cp:revision>
  <cp:lastPrinted>2016-05-27T05:21:00Z</cp:lastPrinted>
  <dcterms:created xsi:type="dcterms:W3CDTF">2019-01-06T23:57:00Z</dcterms:created>
  <dcterms:modified xsi:type="dcterms:W3CDTF">2019-05-14T00:38:00Z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0x01010021B8B678EBC438489F6EAE1E83B16B0F</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