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FB991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06B7290" w14:textId="77777777" w:rsidTr="00146EEC">
        <w:tc>
          <w:tcPr>
            <w:tcW w:w="2689" w:type="dxa"/>
          </w:tcPr>
          <w:p w14:paraId="448EC1F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3B34BB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CE91A29" w14:textId="77777777" w:rsidTr="00146EEC">
        <w:tc>
          <w:tcPr>
            <w:tcW w:w="2689" w:type="dxa"/>
          </w:tcPr>
          <w:p w14:paraId="3516A6B3" w14:textId="0CCA9664" w:rsidR="00E918B8" w:rsidRPr="00E918B8" w:rsidRDefault="00E918B8" w:rsidP="00784C23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784C23">
              <w:t>2</w:t>
            </w:r>
          </w:p>
        </w:tc>
        <w:tc>
          <w:tcPr>
            <w:tcW w:w="6939" w:type="dxa"/>
          </w:tcPr>
          <w:p w14:paraId="4105F732" w14:textId="52F8396B" w:rsidR="00E918B8" w:rsidRPr="00E918B8" w:rsidRDefault="0051042A" w:rsidP="00784C23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784C23">
              <w:t>3</w:t>
            </w:r>
            <w:r w:rsidRPr="0051042A">
              <w:t>.0.</w:t>
            </w:r>
          </w:p>
        </w:tc>
      </w:tr>
      <w:tr w:rsidR="00BE6168" w14:paraId="51481D05" w14:textId="77777777" w:rsidTr="00146EEC">
        <w:tc>
          <w:tcPr>
            <w:tcW w:w="2689" w:type="dxa"/>
          </w:tcPr>
          <w:p w14:paraId="6A097D6D" w14:textId="16F2C2E0" w:rsidR="00BE6168" w:rsidRPr="00CC451E" w:rsidRDefault="00BE6168" w:rsidP="00784C23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784C23">
              <w:t>1</w:t>
            </w:r>
          </w:p>
        </w:tc>
        <w:tc>
          <w:tcPr>
            <w:tcW w:w="6939" w:type="dxa"/>
          </w:tcPr>
          <w:p w14:paraId="091DA4CE" w14:textId="04A6C46F" w:rsidR="00BE6168" w:rsidRPr="003B4052" w:rsidRDefault="00BE6168" w:rsidP="00784C23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784C23">
              <w:t>1</w:t>
            </w:r>
            <w:r w:rsidRPr="0051042A">
              <w:t>.0.</w:t>
            </w:r>
          </w:p>
        </w:tc>
      </w:tr>
    </w:tbl>
    <w:p w14:paraId="359D62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88B98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1E12626" w14:textId="77777777" w:rsidR="00F1480E" w:rsidRPr="000754EC" w:rsidRDefault="00CF795F" w:rsidP="0051042A">
            <w:pPr>
              <w:pStyle w:val="SIUNITCODE"/>
            </w:pPr>
            <w:r>
              <w:t>A</w:t>
            </w:r>
            <w:r w:rsidR="0051042A">
              <w:t>CMATE</w:t>
            </w:r>
            <w:r w:rsidR="00C62358">
              <w:t>503</w:t>
            </w:r>
          </w:p>
        </w:tc>
        <w:tc>
          <w:tcPr>
            <w:tcW w:w="3604" w:type="pct"/>
            <w:shd w:val="clear" w:color="auto" w:fill="auto"/>
          </w:tcPr>
          <w:p w14:paraId="658182ED" w14:textId="77777777" w:rsidR="00F1480E" w:rsidRPr="000754EC" w:rsidRDefault="00C62358" w:rsidP="000754EC">
            <w:pPr>
              <w:pStyle w:val="SIUnittitle"/>
            </w:pPr>
            <w:r w:rsidRPr="00C62358">
              <w:t>Carry out post-mortem examination of a research animal</w:t>
            </w:r>
          </w:p>
        </w:tc>
      </w:tr>
      <w:tr w:rsidR="00F1480E" w:rsidRPr="00963A46" w14:paraId="37629C1B" w14:textId="77777777" w:rsidTr="00CA2922">
        <w:tc>
          <w:tcPr>
            <w:tcW w:w="1396" w:type="pct"/>
            <w:shd w:val="clear" w:color="auto" w:fill="auto"/>
          </w:tcPr>
          <w:p w14:paraId="7C4169E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489575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3E80E33" w14:textId="3CB10AF9" w:rsidR="00C62358" w:rsidRPr="00C62358" w:rsidRDefault="00C62358" w:rsidP="00C62358">
            <w:pPr>
              <w:pStyle w:val="SIText"/>
            </w:pPr>
            <w:r w:rsidRPr="00C62358">
              <w:t>This unit describes the skills and knowledge required to conduct a post-mortem examination of a research animal for scientific purposes.</w:t>
            </w:r>
            <w:r w:rsidR="00463479">
              <w:t xml:space="preserve"> Post-mortem examinations may be subject to biosecurity and quarantine </w:t>
            </w:r>
            <w:r w:rsidR="00077004">
              <w:t xml:space="preserve">regulatory and organisational </w:t>
            </w:r>
            <w:r w:rsidR="00463479">
              <w:t>requirements.</w:t>
            </w:r>
          </w:p>
          <w:p w14:paraId="0875AEE5" w14:textId="77777777" w:rsidR="00C62358" w:rsidRPr="00C62358" w:rsidRDefault="00C62358" w:rsidP="00C62358">
            <w:pPr>
              <w:pStyle w:val="SIText"/>
            </w:pPr>
          </w:p>
          <w:p w14:paraId="1BA1B3C0" w14:textId="77777777" w:rsidR="005E3903" w:rsidRDefault="00C62358" w:rsidP="00C62358">
            <w:pPr>
              <w:pStyle w:val="SIText"/>
            </w:pPr>
            <w:r w:rsidRPr="00C62358">
              <w:t xml:space="preserve">This unit applies to individuals who are required to work with and care for animals used within scientific establishments for scientific purposes and teaching. </w:t>
            </w:r>
          </w:p>
          <w:p w14:paraId="76BD8B85" w14:textId="77777777" w:rsidR="005E3903" w:rsidRDefault="005E3903" w:rsidP="00C62358">
            <w:pPr>
              <w:pStyle w:val="SIText"/>
            </w:pPr>
          </w:p>
          <w:p w14:paraId="25C33E0A" w14:textId="37406D74" w:rsidR="00C62358" w:rsidRPr="00C62358" w:rsidRDefault="00C62358" w:rsidP="00C62358">
            <w:pPr>
              <w:pStyle w:val="SIText"/>
            </w:pPr>
            <w:r w:rsidRPr="00C62358">
              <w:t xml:space="preserve">All work practices must be undertaken in accordance with </w:t>
            </w:r>
            <w:r w:rsidR="005E3903">
              <w:t xml:space="preserve">legislative </w:t>
            </w:r>
            <w:r w:rsidR="005E3903" w:rsidRPr="005E3903">
              <w:t>requirements</w:t>
            </w:r>
            <w:r w:rsidR="005E3903">
              <w:t xml:space="preserve">, the </w:t>
            </w:r>
            <w:r w:rsidR="00BE6168">
              <w:t>current</w:t>
            </w:r>
            <w:r w:rsidR="00BE6168" w:rsidRPr="00C62358">
              <w:t xml:space="preserve"> </w:t>
            </w:r>
            <w:r w:rsidRPr="00C62358">
              <w:t>Australian Code</w:t>
            </w:r>
            <w:r w:rsidR="005E3903">
              <w:t xml:space="preserve"> </w:t>
            </w:r>
            <w:r w:rsidRPr="00C62358">
              <w:t>for the Care and Use of Animals for Scientific Purposes</w:t>
            </w:r>
            <w:r w:rsidR="005E3903">
              <w:t>;</w:t>
            </w:r>
            <w:r w:rsidRPr="00C62358">
              <w:t xml:space="preserve"> the </w:t>
            </w:r>
            <w:r w:rsidR="001E325B">
              <w:t>organisation</w:t>
            </w:r>
            <w:r w:rsidRPr="00C62358">
              <w:t>'s standard operating procedures</w:t>
            </w:r>
            <w:r w:rsidR="005E3903">
              <w:t>, and</w:t>
            </w:r>
            <w:r w:rsidR="005E3903" w:rsidRPr="005E3903">
              <w:t xml:space="preserve"> protocols, policies and procedures </w:t>
            </w:r>
            <w:r w:rsidR="0002514C">
              <w:t>approved</w:t>
            </w:r>
            <w:r w:rsidR="005E3903" w:rsidRPr="005E3903">
              <w:t xml:space="preserve"> by the organisation's </w:t>
            </w:r>
            <w:r w:rsidR="0002514C">
              <w:t>Animal Ethics Committee (</w:t>
            </w:r>
            <w:r w:rsidR="005E3903" w:rsidRPr="005E3903">
              <w:t>AEC</w:t>
            </w:r>
            <w:r w:rsidR="0002514C">
              <w:t>).</w:t>
            </w:r>
            <w:r w:rsidR="005E3903" w:rsidRPr="005E3903" w:rsidDel="005E3903">
              <w:t xml:space="preserve"> </w:t>
            </w:r>
            <w:r w:rsidR="004824A9" w:rsidRPr="004824A9">
              <w:t xml:space="preserve">Users are advised to check legislative requirements for their jurisdiction. </w:t>
            </w:r>
          </w:p>
          <w:p w14:paraId="4E2FDDF9" w14:textId="77777777" w:rsidR="00C62358" w:rsidRPr="00C62358" w:rsidRDefault="00C62358" w:rsidP="00C62358">
            <w:pPr>
              <w:pStyle w:val="SIText"/>
            </w:pPr>
          </w:p>
          <w:p w14:paraId="5E77DCE8" w14:textId="2C10191E" w:rsidR="00373436" w:rsidRPr="000754EC" w:rsidRDefault="00C62358" w:rsidP="0099517D">
            <w:pPr>
              <w:pStyle w:val="SIText"/>
            </w:pPr>
            <w:r w:rsidRPr="00C62358">
              <w:t>No occupational licensing, legislative or certification requirements apply to this unit at the time of publication.</w:t>
            </w:r>
          </w:p>
        </w:tc>
      </w:tr>
      <w:tr w:rsidR="00F1480E" w:rsidRPr="00963A46" w14:paraId="4A1A56DF" w14:textId="77777777" w:rsidTr="00CA2922">
        <w:tc>
          <w:tcPr>
            <w:tcW w:w="1396" w:type="pct"/>
            <w:shd w:val="clear" w:color="auto" w:fill="auto"/>
          </w:tcPr>
          <w:p w14:paraId="5D0B79E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C5027FA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E3ADA7D" w14:textId="77777777" w:rsidTr="00CA2922">
        <w:tc>
          <w:tcPr>
            <w:tcW w:w="1396" w:type="pct"/>
            <w:shd w:val="clear" w:color="auto" w:fill="auto"/>
          </w:tcPr>
          <w:p w14:paraId="6F83739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0F55140" w14:textId="77777777" w:rsidR="00F1480E" w:rsidRPr="000754EC" w:rsidRDefault="0051042A" w:rsidP="00CF795F">
            <w:pPr>
              <w:pStyle w:val="SIText"/>
            </w:pPr>
            <w:r w:rsidRPr="0051042A">
              <w:t>Animal Technology (ATE)</w:t>
            </w:r>
          </w:p>
        </w:tc>
      </w:tr>
    </w:tbl>
    <w:p w14:paraId="32DCF0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283528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0F90D5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D81400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7A997C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02893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3560FD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62358" w:rsidRPr="00963A46" w14:paraId="27A55E4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3142E7" w14:textId="77777777" w:rsidR="00C62358" w:rsidRPr="00C62358" w:rsidRDefault="00C62358" w:rsidP="00C62358">
            <w:pPr>
              <w:pStyle w:val="SIText"/>
            </w:pPr>
            <w:r w:rsidRPr="00C62358">
              <w:t>1. Prepare to conduct the post-mortem examination</w:t>
            </w:r>
          </w:p>
        </w:tc>
        <w:tc>
          <w:tcPr>
            <w:tcW w:w="3604" w:type="pct"/>
            <w:shd w:val="clear" w:color="auto" w:fill="auto"/>
          </w:tcPr>
          <w:p w14:paraId="5CE070EE" w14:textId="7F229F39" w:rsidR="00C62358" w:rsidRPr="00C62358" w:rsidRDefault="00C62358" w:rsidP="00C62358">
            <w:pPr>
              <w:pStyle w:val="SIText"/>
            </w:pPr>
            <w:r w:rsidRPr="00C62358">
              <w:t xml:space="preserve">1.1 </w:t>
            </w:r>
            <w:r w:rsidR="00BE6168">
              <w:t>Identify, s</w:t>
            </w:r>
            <w:r w:rsidRPr="00C62358">
              <w:t xml:space="preserve">elect and prepare </w:t>
            </w:r>
            <w:r w:rsidR="00BE6168">
              <w:t>appropriate</w:t>
            </w:r>
            <w:r w:rsidR="00BE6168" w:rsidRPr="00C62358">
              <w:t xml:space="preserve"> </w:t>
            </w:r>
            <w:r w:rsidRPr="00C62358">
              <w:t>site for the post-mortem</w:t>
            </w:r>
            <w:r w:rsidR="0002514C">
              <w:t xml:space="preserve"> </w:t>
            </w:r>
            <w:r w:rsidR="0002514C" w:rsidRPr="0002514C">
              <w:rPr>
                <w:rStyle w:val="SITemporaryText"/>
              </w:rPr>
              <w:t>according to facility and containment classification</w:t>
            </w:r>
          </w:p>
          <w:p w14:paraId="29595293" w14:textId="3DB3CD1D" w:rsidR="00C62358" w:rsidRPr="00C62358" w:rsidRDefault="00C62358" w:rsidP="00C62358">
            <w:pPr>
              <w:pStyle w:val="SIText"/>
            </w:pPr>
            <w:r w:rsidRPr="00C62358">
              <w:t xml:space="preserve">1.2 Identify containment </w:t>
            </w:r>
            <w:r w:rsidR="0099517D">
              <w:t>issues and health and safety risks</w:t>
            </w:r>
            <w:r w:rsidRPr="00C62358">
              <w:t xml:space="preserve"> and take </w:t>
            </w:r>
            <w:r w:rsidR="00BE6168">
              <w:t xml:space="preserve">or recommend </w:t>
            </w:r>
            <w:r w:rsidRPr="00C62358">
              <w:t>appropriate action</w:t>
            </w:r>
            <w:r w:rsidR="0099517D">
              <w:t xml:space="preserve"> to protect self and others</w:t>
            </w:r>
          </w:p>
          <w:p w14:paraId="62C18B65" w14:textId="77777777" w:rsidR="00C62358" w:rsidRPr="00C62358" w:rsidRDefault="00C62358" w:rsidP="00C62358">
            <w:pPr>
              <w:pStyle w:val="SIText"/>
            </w:pPr>
            <w:r w:rsidRPr="00C62358">
              <w:t>1.3 Obtain and prepare correct clothing, equipment and resources to be used in the post-mortem examination</w:t>
            </w:r>
          </w:p>
          <w:p w14:paraId="360D9229" w14:textId="77777777" w:rsidR="00C62358" w:rsidRPr="00C62358" w:rsidRDefault="00C62358" w:rsidP="00C62358">
            <w:pPr>
              <w:pStyle w:val="SIText"/>
            </w:pPr>
            <w:r w:rsidRPr="00C62358">
              <w:t xml:space="preserve">1.4 Use appropriate manual lifting techniques to move the animal to be examined to the post-mortem area </w:t>
            </w:r>
          </w:p>
          <w:p w14:paraId="41ACFB06" w14:textId="01F91836" w:rsidR="00C62358" w:rsidRPr="00385D0C" w:rsidRDefault="00C62358" w:rsidP="00385D0C">
            <w:pPr>
              <w:pStyle w:val="SIText"/>
            </w:pPr>
            <w:r w:rsidRPr="00C62358">
              <w:t xml:space="preserve">1.5 </w:t>
            </w:r>
            <w:r w:rsidRPr="00385D0C">
              <w:t>Confirm death of the animal by checking for the absence of any vital signs</w:t>
            </w:r>
            <w:r w:rsidR="0002514C" w:rsidRPr="00385D0C">
              <w:t xml:space="preserve"> </w:t>
            </w:r>
            <w:r w:rsidR="0002514C" w:rsidRPr="00385D0C">
              <w:rPr>
                <w:rStyle w:val="SITemporaryText"/>
                <w:color w:val="auto"/>
                <w:sz w:val="20"/>
              </w:rPr>
              <w:t>and indicators determined by the AEC</w:t>
            </w:r>
          </w:p>
          <w:p w14:paraId="2426DDA3" w14:textId="5277FB28" w:rsidR="00C62358" w:rsidRPr="00C62358" w:rsidRDefault="00C62358" w:rsidP="00C62358">
            <w:pPr>
              <w:pStyle w:val="SIText"/>
            </w:pPr>
            <w:r w:rsidRPr="00C62358">
              <w:t xml:space="preserve">1.6 </w:t>
            </w:r>
            <w:r w:rsidR="0099517D">
              <w:t>Confirm identity and o</w:t>
            </w:r>
            <w:r w:rsidRPr="00C62358">
              <w:t>btain and collate all relevant preliminary information about the animal to be examined</w:t>
            </w:r>
          </w:p>
          <w:p w14:paraId="0211827F" w14:textId="1C2BAA3D" w:rsidR="00C62358" w:rsidRPr="00C62358" w:rsidRDefault="00C62358" w:rsidP="00C62358">
            <w:pPr>
              <w:pStyle w:val="SIText"/>
            </w:pPr>
            <w:r w:rsidRPr="00C62358">
              <w:t xml:space="preserve">1.7 Identify abnormal characteristics that may indicate the presence of notifiable and potentially hazardous conditions or diseases and take </w:t>
            </w:r>
            <w:r w:rsidR="00BE6168">
              <w:t xml:space="preserve">or recommend </w:t>
            </w:r>
            <w:r w:rsidRPr="00C62358">
              <w:t>appropriate action</w:t>
            </w:r>
          </w:p>
          <w:p w14:paraId="35A21FA9" w14:textId="62165CC5" w:rsidR="00C62358" w:rsidRPr="00C62358" w:rsidRDefault="00C62358" w:rsidP="0099517D">
            <w:pPr>
              <w:pStyle w:val="SIText"/>
            </w:pPr>
            <w:r w:rsidRPr="00C62358">
              <w:t>1.</w:t>
            </w:r>
            <w:r w:rsidR="0099517D">
              <w:t>8</w:t>
            </w:r>
            <w:r w:rsidRPr="00C62358">
              <w:t xml:space="preserve"> </w:t>
            </w:r>
            <w:r w:rsidR="00BE6168">
              <w:t>Identify industry</w:t>
            </w:r>
            <w:r w:rsidR="00BE6168" w:rsidRPr="00C62358">
              <w:t xml:space="preserve"> </w:t>
            </w:r>
            <w:r w:rsidRPr="00C62358">
              <w:t xml:space="preserve">expert assistance </w:t>
            </w:r>
            <w:r w:rsidR="00BE6168">
              <w:t xml:space="preserve">and access </w:t>
            </w:r>
            <w:r w:rsidRPr="00C62358">
              <w:t>as appropriate</w:t>
            </w:r>
          </w:p>
        </w:tc>
      </w:tr>
      <w:tr w:rsidR="00C62358" w:rsidRPr="00963A46" w14:paraId="31E3990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1D9E83" w14:textId="77777777" w:rsidR="00C62358" w:rsidRPr="00C62358" w:rsidRDefault="00C62358" w:rsidP="00C62358">
            <w:pPr>
              <w:pStyle w:val="SIText"/>
            </w:pPr>
            <w:r w:rsidRPr="00C62358">
              <w:t>2. Carry out the post-mortem examination</w:t>
            </w:r>
          </w:p>
        </w:tc>
        <w:tc>
          <w:tcPr>
            <w:tcW w:w="3604" w:type="pct"/>
            <w:shd w:val="clear" w:color="auto" w:fill="auto"/>
          </w:tcPr>
          <w:p w14:paraId="2156B23A" w14:textId="7DA89735" w:rsidR="00C62358" w:rsidRPr="00C62358" w:rsidRDefault="00C62358" w:rsidP="00C62358">
            <w:pPr>
              <w:pStyle w:val="SIText"/>
            </w:pPr>
            <w:r w:rsidRPr="00C62358">
              <w:t xml:space="preserve">2.1 Carry out external assessment of the animal and </w:t>
            </w:r>
            <w:r w:rsidR="0099517D">
              <w:t>record</w:t>
            </w:r>
            <w:r w:rsidR="0099517D" w:rsidRPr="00C62358">
              <w:t xml:space="preserve"> </w:t>
            </w:r>
            <w:r w:rsidRPr="00C62358">
              <w:t>outward signs of abnormalities or injury</w:t>
            </w:r>
          </w:p>
          <w:p w14:paraId="16001C1C" w14:textId="77777777" w:rsidR="00C62358" w:rsidRPr="00C62358" w:rsidRDefault="00C62358" w:rsidP="00C62358">
            <w:pPr>
              <w:pStyle w:val="SIText"/>
            </w:pPr>
            <w:r w:rsidRPr="00C62358">
              <w:t>2.2 Dissect animal using appropriate techniques and equipment to avoid cutting into organs or stomach cavity</w:t>
            </w:r>
          </w:p>
          <w:p w14:paraId="1D432B20" w14:textId="77777777" w:rsidR="00C62358" w:rsidRPr="00C62358" w:rsidRDefault="00C62358" w:rsidP="00C62358">
            <w:pPr>
              <w:pStyle w:val="SIText"/>
            </w:pPr>
            <w:r w:rsidRPr="00C62358">
              <w:t>2.3 Examine nominated organs, tissues and structures</w:t>
            </w:r>
          </w:p>
          <w:p w14:paraId="34DA3302" w14:textId="764859AA" w:rsidR="00C62358" w:rsidRPr="00C62358" w:rsidRDefault="00C62358" w:rsidP="00C62358">
            <w:pPr>
              <w:pStyle w:val="SIText"/>
            </w:pPr>
            <w:r w:rsidRPr="00C62358">
              <w:t>2.4 Take and prepare samples of organs, other tissues and fluid samples where appropriate</w:t>
            </w:r>
            <w:r w:rsidR="0099517D">
              <w:t xml:space="preserve"> without causing damage to tissues</w:t>
            </w:r>
          </w:p>
        </w:tc>
      </w:tr>
      <w:tr w:rsidR="00C62358" w:rsidRPr="00963A46" w14:paraId="625B6C8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72C8C9" w14:textId="77777777" w:rsidR="00C62358" w:rsidRPr="00C62358" w:rsidRDefault="00C62358" w:rsidP="00C62358">
            <w:pPr>
              <w:pStyle w:val="SIText"/>
            </w:pPr>
            <w:r w:rsidRPr="00C62358">
              <w:lastRenderedPageBreak/>
              <w:t>3. Complete the post-mortem examination</w:t>
            </w:r>
          </w:p>
        </w:tc>
        <w:tc>
          <w:tcPr>
            <w:tcW w:w="3604" w:type="pct"/>
            <w:shd w:val="clear" w:color="auto" w:fill="auto"/>
          </w:tcPr>
          <w:p w14:paraId="658D8AAE" w14:textId="77777777" w:rsidR="00C62358" w:rsidRPr="00C62358" w:rsidRDefault="00C62358" w:rsidP="00C62358">
            <w:pPr>
              <w:pStyle w:val="SIText"/>
            </w:pPr>
            <w:r w:rsidRPr="00C62358">
              <w:t>3.1 Dispose of carcass using appropriate equipment according to animal research practices and waste disposal legislation and regulations</w:t>
            </w:r>
          </w:p>
          <w:p w14:paraId="020E0FE1" w14:textId="247883D0" w:rsidR="00C62358" w:rsidRPr="00C62358" w:rsidRDefault="00C62358" w:rsidP="00C62358">
            <w:pPr>
              <w:pStyle w:val="SIText"/>
            </w:pPr>
            <w:r w:rsidRPr="00C62358">
              <w:t xml:space="preserve">3.2 </w:t>
            </w:r>
            <w:r w:rsidR="00BE6168">
              <w:t>C</w:t>
            </w:r>
            <w:r w:rsidRPr="00C62358">
              <w:t>orrectly label and package samples for analysis</w:t>
            </w:r>
            <w:r w:rsidR="00BE6168">
              <w:t xml:space="preserve"> according to organisational procedures</w:t>
            </w:r>
          </w:p>
          <w:p w14:paraId="7083D5F8" w14:textId="2C0901DA" w:rsidR="00C62358" w:rsidRPr="00C62358" w:rsidRDefault="00C62358" w:rsidP="00C62358">
            <w:pPr>
              <w:pStyle w:val="SIText"/>
            </w:pPr>
            <w:r w:rsidRPr="00C62358">
              <w:t>3.3 Collate records of observations and information about the animal examined</w:t>
            </w:r>
            <w:r w:rsidR="00BE6168">
              <w:t xml:space="preserve"> for</w:t>
            </w:r>
            <w:r w:rsidRPr="00C62358">
              <w:t xml:space="preserve"> relevant persons </w:t>
            </w:r>
            <w:r w:rsidR="00BE6168">
              <w:t>to</w:t>
            </w:r>
            <w:r w:rsidR="00BE6168" w:rsidRPr="00C62358">
              <w:t xml:space="preserve"> </w:t>
            </w:r>
            <w:r w:rsidRPr="00C62358">
              <w:t>analys</w:t>
            </w:r>
            <w:r w:rsidR="00BE6168">
              <w:t>e</w:t>
            </w:r>
            <w:r w:rsidRPr="00C62358">
              <w:t xml:space="preserve"> and diagnos</w:t>
            </w:r>
            <w:r w:rsidR="00BE6168">
              <w:t>e</w:t>
            </w:r>
          </w:p>
          <w:p w14:paraId="0434382B" w14:textId="3E1BC65D" w:rsidR="00C62358" w:rsidRPr="0002514C" w:rsidRDefault="00C62358" w:rsidP="00077004">
            <w:pPr>
              <w:pStyle w:val="SIText"/>
              <w:rPr>
                <w:rStyle w:val="SIText-Italic"/>
              </w:rPr>
            </w:pPr>
            <w:r w:rsidRPr="00C62358">
              <w:t>3.</w:t>
            </w:r>
            <w:r w:rsidR="0002514C">
              <w:t xml:space="preserve">4 </w:t>
            </w:r>
            <w:r w:rsidRPr="00C62358">
              <w:t>Clean and disinfect post-mortem area and equipment</w:t>
            </w:r>
            <w:r w:rsidR="0002514C">
              <w:t xml:space="preserve"> according to organisational procedures and biosecurity requirements where applicable </w:t>
            </w:r>
          </w:p>
        </w:tc>
      </w:tr>
    </w:tbl>
    <w:p w14:paraId="685FB655" w14:textId="77777777" w:rsidR="005F771F" w:rsidRDefault="005F771F" w:rsidP="005F771F">
      <w:pPr>
        <w:pStyle w:val="SIText"/>
      </w:pPr>
    </w:p>
    <w:p w14:paraId="2A6BF84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579AD8D" w14:textId="77777777" w:rsidTr="00CA2922">
        <w:trPr>
          <w:tblHeader/>
        </w:trPr>
        <w:tc>
          <w:tcPr>
            <w:tcW w:w="5000" w:type="pct"/>
            <w:gridSpan w:val="2"/>
          </w:tcPr>
          <w:p w14:paraId="0B20929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BA35ED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624BCD1" w14:textId="77777777" w:rsidTr="00CA2922">
        <w:trPr>
          <w:tblHeader/>
        </w:trPr>
        <w:tc>
          <w:tcPr>
            <w:tcW w:w="1396" w:type="pct"/>
          </w:tcPr>
          <w:p w14:paraId="6803DF7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7A027D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62358" w:rsidRPr="00336FCA" w:rsidDel="00423CB2" w14:paraId="16812B7D" w14:textId="77777777" w:rsidTr="00CA2922">
        <w:tc>
          <w:tcPr>
            <w:tcW w:w="1396" w:type="pct"/>
          </w:tcPr>
          <w:p w14:paraId="5A6C7ECF" w14:textId="77777777" w:rsidR="00C62358" w:rsidRPr="00C62358" w:rsidRDefault="00C62358" w:rsidP="00C62358">
            <w:pPr>
              <w:pStyle w:val="SIText"/>
            </w:pPr>
            <w:r w:rsidRPr="00C62358">
              <w:t>Reading</w:t>
            </w:r>
          </w:p>
        </w:tc>
        <w:tc>
          <w:tcPr>
            <w:tcW w:w="3604" w:type="pct"/>
          </w:tcPr>
          <w:p w14:paraId="0F499FB9" w14:textId="5F314A78" w:rsidR="00C62358" w:rsidRPr="00C62358" w:rsidRDefault="00C62358" w:rsidP="001A49EB">
            <w:pPr>
              <w:pStyle w:val="SIBulletList1"/>
              <w:rPr>
                <w:rFonts w:eastAsia="Calibri"/>
              </w:rPr>
            </w:pPr>
            <w:r w:rsidRPr="00C62358">
              <w:rPr>
                <w:rFonts w:eastAsia="Calibri"/>
              </w:rPr>
              <w:t>Read and interpret relevant codes of practice</w:t>
            </w:r>
            <w:r w:rsidR="001A49EB">
              <w:rPr>
                <w:rFonts w:eastAsia="Calibri"/>
              </w:rPr>
              <w:t xml:space="preserve"> and organisational procedures</w:t>
            </w:r>
          </w:p>
        </w:tc>
      </w:tr>
      <w:tr w:rsidR="00C62358" w:rsidRPr="00336FCA" w:rsidDel="00423CB2" w14:paraId="7C7F56BC" w14:textId="77777777" w:rsidTr="00CA2922">
        <w:tc>
          <w:tcPr>
            <w:tcW w:w="1396" w:type="pct"/>
          </w:tcPr>
          <w:p w14:paraId="746E257C" w14:textId="77777777" w:rsidR="00C62358" w:rsidRPr="00C62358" w:rsidRDefault="00C62358" w:rsidP="00C62358">
            <w:pPr>
              <w:pStyle w:val="SIText"/>
            </w:pPr>
            <w:r w:rsidRPr="00C62358">
              <w:t>Get the work done</w:t>
            </w:r>
          </w:p>
        </w:tc>
        <w:tc>
          <w:tcPr>
            <w:tcW w:w="3604" w:type="pct"/>
          </w:tcPr>
          <w:p w14:paraId="40A10666" w14:textId="33890BED" w:rsidR="00C62358" w:rsidRPr="00C62358" w:rsidRDefault="0099517D" w:rsidP="00C6235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Perform a</w:t>
            </w:r>
            <w:r w:rsidR="00C62358" w:rsidRPr="00C62358">
              <w:rPr>
                <w:rFonts w:eastAsia="Calibri"/>
              </w:rPr>
              <w:t xml:space="preserve"> post-mortem examination to ensure effectiveness in meeting timelines and work schedules</w:t>
            </w:r>
          </w:p>
        </w:tc>
      </w:tr>
    </w:tbl>
    <w:p w14:paraId="3C2F68C7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CA9AC7D" w14:textId="77777777" w:rsidTr="00F33FF2">
        <w:tc>
          <w:tcPr>
            <w:tcW w:w="5000" w:type="pct"/>
            <w:gridSpan w:val="4"/>
          </w:tcPr>
          <w:p w14:paraId="278822B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299FB13" w14:textId="77777777" w:rsidTr="00F33FF2">
        <w:tc>
          <w:tcPr>
            <w:tcW w:w="1028" w:type="pct"/>
          </w:tcPr>
          <w:p w14:paraId="044B0C9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E2F5DF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A33B2E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C63254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62358" w14:paraId="5C9A0F54" w14:textId="77777777" w:rsidTr="00F33FF2">
        <w:tc>
          <w:tcPr>
            <w:tcW w:w="1028" w:type="pct"/>
          </w:tcPr>
          <w:p w14:paraId="6841B921" w14:textId="3EC045E2" w:rsidR="00C62358" w:rsidRPr="00C62358" w:rsidRDefault="00C62358" w:rsidP="00C62358">
            <w:pPr>
              <w:pStyle w:val="SIText"/>
            </w:pPr>
            <w:r w:rsidRPr="00C62358">
              <w:t>ACMATE503 Carry out post-mortem examination of a research animal</w:t>
            </w:r>
            <w:r w:rsidR="00BE6168">
              <w:t xml:space="preserve"> (Release 2)</w:t>
            </w:r>
          </w:p>
        </w:tc>
        <w:tc>
          <w:tcPr>
            <w:tcW w:w="1105" w:type="pct"/>
          </w:tcPr>
          <w:p w14:paraId="3C680DCB" w14:textId="2A65191D" w:rsidR="00C62358" w:rsidRPr="00C62358" w:rsidRDefault="00C62358" w:rsidP="00BE6168">
            <w:pPr>
              <w:pStyle w:val="SIText"/>
            </w:pPr>
            <w:r w:rsidRPr="00C62358">
              <w:t>ACMATE503 Carry out post-mortem examination of a research animal</w:t>
            </w:r>
            <w:r w:rsidR="00BE6168">
              <w:t xml:space="preserve"> (Release 1)</w:t>
            </w:r>
          </w:p>
        </w:tc>
        <w:tc>
          <w:tcPr>
            <w:tcW w:w="1251" w:type="pct"/>
          </w:tcPr>
          <w:p w14:paraId="75D664D6" w14:textId="03812429" w:rsidR="001A49EB" w:rsidRPr="001A49EB" w:rsidRDefault="001A49EB" w:rsidP="001A49EB">
            <w:pPr>
              <w:pStyle w:val="SIText"/>
            </w:pPr>
            <w:r>
              <w:t xml:space="preserve">Minor changes to </w:t>
            </w:r>
            <w:r w:rsidRPr="001A49EB">
              <w:t>performance criteria and knowledge evidence for clarity</w:t>
            </w:r>
          </w:p>
          <w:p w14:paraId="7EE5F750" w14:textId="3CE75B9B" w:rsidR="00510546" w:rsidRPr="00C62358" w:rsidRDefault="001A49EB" w:rsidP="001A49EB">
            <w:pPr>
              <w:pStyle w:val="SIText"/>
            </w:pPr>
            <w:r>
              <w:t>Revised performance evidence to reduce duplication with performance criteria</w:t>
            </w:r>
          </w:p>
        </w:tc>
        <w:tc>
          <w:tcPr>
            <w:tcW w:w="1616" w:type="pct"/>
          </w:tcPr>
          <w:p w14:paraId="574DBEB5" w14:textId="77777777" w:rsidR="00C62358" w:rsidRPr="00C62358" w:rsidRDefault="00C62358" w:rsidP="00C62358">
            <w:pPr>
              <w:pStyle w:val="SIText"/>
            </w:pPr>
            <w:r w:rsidRPr="00C62358">
              <w:t xml:space="preserve">Equivalent unit </w:t>
            </w:r>
          </w:p>
        </w:tc>
      </w:tr>
    </w:tbl>
    <w:p w14:paraId="1D4AE0B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ED4CD48" w14:textId="77777777" w:rsidTr="00CA2922">
        <w:tc>
          <w:tcPr>
            <w:tcW w:w="1396" w:type="pct"/>
            <w:shd w:val="clear" w:color="auto" w:fill="auto"/>
          </w:tcPr>
          <w:p w14:paraId="5C9C504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3BFC426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64D41726" w14:textId="77777777" w:rsidR="00F1480E" w:rsidRDefault="00F1480E" w:rsidP="005F771F">
      <w:pPr>
        <w:pStyle w:val="SIText"/>
      </w:pPr>
    </w:p>
    <w:p w14:paraId="3788FE6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B88F51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D94509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DE594C3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C62358" w:rsidRPr="00C62358">
              <w:t>ACMATE503 Carry out post-mortem examination of a research animal</w:t>
            </w:r>
          </w:p>
        </w:tc>
      </w:tr>
      <w:tr w:rsidR="00556C4C" w:rsidRPr="00A55106" w14:paraId="204181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02FAE6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B89CE14" w14:textId="77777777" w:rsidTr="00113678">
        <w:tc>
          <w:tcPr>
            <w:tcW w:w="5000" w:type="pct"/>
            <w:gridSpan w:val="2"/>
            <w:shd w:val="clear" w:color="auto" w:fill="auto"/>
          </w:tcPr>
          <w:p w14:paraId="0C028F53" w14:textId="6FB884E4" w:rsidR="00C62358" w:rsidRPr="00C62358" w:rsidRDefault="00C62358" w:rsidP="00C62358">
            <w:pPr>
              <w:pStyle w:val="SIText"/>
            </w:pPr>
            <w:r w:rsidRPr="00C62358">
              <w:t xml:space="preserve">An individual demonstrating competency must satisfy all of the elements and performance criteria in this unit. </w:t>
            </w:r>
          </w:p>
          <w:p w14:paraId="59412490" w14:textId="77777777" w:rsidR="00C62358" w:rsidRPr="00C62358" w:rsidRDefault="00C62358" w:rsidP="00C62358">
            <w:pPr>
              <w:pStyle w:val="SIText"/>
            </w:pPr>
          </w:p>
          <w:p w14:paraId="57799E3E" w14:textId="77777777" w:rsidR="00BE6168" w:rsidRDefault="00C62358" w:rsidP="00C62358">
            <w:pPr>
              <w:pStyle w:val="SIText"/>
            </w:pPr>
            <w:r w:rsidRPr="00C62358">
              <w:t>There must be evidence that</w:t>
            </w:r>
            <w:r w:rsidR="00BE6168" w:rsidRPr="00C62358">
              <w:t xml:space="preserve"> the individual has</w:t>
            </w:r>
            <w:r w:rsidR="00BE6168">
              <w:t>:</w:t>
            </w:r>
          </w:p>
          <w:p w14:paraId="53B8A63D" w14:textId="47C9091F" w:rsidR="00BE6168" w:rsidRDefault="001A49EB" w:rsidP="004C5BEE">
            <w:pPr>
              <w:pStyle w:val="SIBulletList1"/>
            </w:pPr>
            <w:r>
              <w:t xml:space="preserve">prepared for and </w:t>
            </w:r>
            <w:r w:rsidR="00BE6168">
              <w:t>carried out</w:t>
            </w:r>
            <w:r w:rsidR="00C62358" w:rsidRPr="00C62358">
              <w:t xml:space="preserve"> </w:t>
            </w:r>
            <w:r w:rsidR="00784C23">
              <w:t xml:space="preserve">at least one </w:t>
            </w:r>
            <w:r w:rsidR="00C62358" w:rsidRPr="00C62358">
              <w:t>post-mortem examination</w:t>
            </w:r>
            <w:r w:rsidR="004C5BEE">
              <w:t xml:space="preserve"> of </w:t>
            </w:r>
            <w:r w:rsidR="00784C23">
              <w:t xml:space="preserve">two different species of </w:t>
            </w:r>
            <w:r w:rsidR="004C5BEE">
              <w:t>research animal</w:t>
            </w:r>
            <w:r w:rsidR="00BE6168" w:rsidRPr="00C62358">
              <w:t xml:space="preserve"> </w:t>
            </w:r>
          </w:p>
          <w:p w14:paraId="65265B4F" w14:textId="247DCE3D" w:rsidR="00556C4C" w:rsidRPr="000754EC" w:rsidRDefault="004C5BEE" w:rsidP="004C5BEE">
            <w:pPr>
              <w:pStyle w:val="SIBulletList1"/>
            </w:pPr>
            <w:proofErr w:type="gramStart"/>
            <w:r>
              <w:rPr>
                <w:rFonts w:eastAsia="Calibri"/>
              </w:rPr>
              <w:t>collated</w:t>
            </w:r>
            <w:proofErr w:type="gramEnd"/>
            <w:r>
              <w:rPr>
                <w:rFonts w:eastAsia="Calibri"/>
              </w:rPr>
              <w:t xml:space="preserve"> records </w:t>
            </w:r>
            <w:r w:rsidR="001A49EB">
              <w:rPr>
                <w:rFonts w:eastAsia="Calibri"/>
              </w:rPr>
              <w:t xml:space="preserve">and data </w:t>
            </w:r>
            <w:r>
              <w:rPr>
                <w:rFonts w:eastAsia="Calibri"/>
              </w:rPr>
              <w:t xml:space="preserve">and </w:t>
            </w:r>
            <w:r w:rsidR="00C62358" w:rsidRPr="00C62358">
              <w:rPr>
                <w:rFonts w:eastAsia="Calibri"/>
              </w:rPr>
              <w:t xml:space="preserve">prepared a brief </w:t>
            </w:r>
            <w:r w:rsidR="001A49EB">
              <w:rPr>
                <w:rFonts w:eastAsia="Calibri"/>
              </w:rPr>
              <w:t xml:space="preserve">or report of normal and abnormal findings </w:t>
            </w:r>
            <w:r w:rsidR="00C62358" w:rsidRPr="00C62358">
              <w:rPr>
                <w:rFonts w:eastAsia="Calibri"/>
              </w:rPr>
              <w:t xml:space="preserve">for </w:t>
            </w:r>
            <w:r>
              <w:rPr>
                <w:rFonts w:eastAsia="Calibri"/>
              </w:rPr>
              <w:t xml:space="preserve">relevant </w:t>
            </w:r>
            <w:r w:rsidR="001A49EB">
              <w:rPr>
                <w:rFonts w:eastAsia="Calibri"/>
              </w:rPr>
              <w:t xml:space="preserve">persons for each post-mortem examination. </w:t>
            </w:r>
          </w:p>
        </w:tc>
      </w:tr>
    </w:tbl>
    <w:p w14:paraId="40B389B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41490A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B7110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80FD654" w14:textId="77777777" w:rsidTr="00CA2922">
        <w:tc>
          <w:tcPr>
            <w:tcW w:w="5000" w:type="pct"/>
            <w:shd w:val="clear" w:color="auto" w:fill="auto"/>
          </w:tcPr>
          <w:p w14:paraId="23FD69F3" w14:textId="146714FF" w:rsidR="00C62358" w:rsidRPr="00C62358" w:rsidRDefault="00C62358" w:rsidP="00C62358">
            <w:pPr>
              <w:pStyle w:val="SIText"/>
            </w:pPr>
            <w:r w:rsidRPr="00C62358">
              <w:t>An individual must be able to demonstrate the knowledge required to perform the tasks outlined in the elements and performance criteria of this unit. This includes knowledge of:</w:t>
            </w:r>
          </w:p>
          <w:p w14:paraId="4BD6539D" w14:textId="77777777" w:rsidR="00C62358" w:rsidRPr="00C62358" w:rsidRDefault="00C62358" w:rsidP="00527A39">
            <w:pPr>
              <w:pStyle w:val="SIBulletList1"/>
              <w:rPr>
                <w:rFonts w:eastAsia="Calibri"/>
              </w:rPr>
            </w:pPr>
            <w:r w:rsidRPr="00C62358">
              <w:rPr>
                <w:rFonts w:eastAsia="Calibri"/>
              </w:rPr>
              <w:t>principles and practices for carrying out post-mortem examination of research animals</w:t>
            </w:r>
          </w:p>
          <w:p w14:paraId="78527AAF" w14:textId="095DBD3A" w:rsidR="00C62358" w:rsidRPr="00385D0C" w:rsidRDefault="00C62358" w:rsidP="00385D0C">
            <w:pPr>
              <w:pStyle w:val="SIBulletList1"/>
              <w:rPr>
                <w:rFonts w:eastAsia="Calibri"/>
              </w:rPr>
            </w:pPr>
            <w:r w:rsidRPr="00C62358">
              <w:rPr>
                <w:rFonts w:eastAsia="Calibri"/>
              </w:rPr>
              <w:t xml:space="preserve">animal biology, </w:t>
            </w:r>
            <w:r w:rsidRPr="00385D0C">
              <w:rPr>
                <w:rFonts w:eastAsia="Calibri"/>
              </w:rPr>
              <w:t xml:space="preserve">anatomy and </w:t>
            </w:r>
            <w:r w:rsidR="00C9449F" w:rsidRPr="00385D0C">
              <w:rPr>
                <w:rStyle w:val="SITemporaryText"/>
                <w:rFonts w:eastAsia="Calibri"/>
                <w:color w:val="auto"/>
                <w:sz w:val="20"/>
              </w:rPr>
              <w:t>basic</w:t>
            </w:r>
            <w:r w:rsidR="00C9449F" w:rsidRPr="00385D0C">
              <w:rPr>
                <w:rFonts w:eastAsia="Calibri"/>
              </w:rPr>
              <w:t xml:space="preserve"> </w:t>
            </w:r>
            <w:r w:rsidRPr="00385D0C">
              <w:rPr>
                <w:rStyle w:val="SITemporaryText"/>
                <w:rFonts w:eastAsia="Calibri"/>
                <w:color w:val="auto"/>
                <w:sz w:val="20"/>
              </w:rPr>
              <w:t>physiology</w:t>
            </w:r>
            <w:r w:rsidRPr="00385D0C">
              <w:rPr>
                <w:rFonts w:eastAsia="Calibri"/>
              </w:rPr>
              <w:t xml:space="preserve"> of the range of species in the </w:t>
            </w:r>
            <w:r w:rsidR="001E325B" w:rsidRPr="00385D0C">
              <w:rPr>
                <w:rFonts w:eastAsia="Calibri"/>
              </w:rPr>
              <w:t>organisation</w:t>
            </w:r>
            <w:r w:rsidRPr="00385D0C">
              <w:rPr>
                <w:rFonts w:eastAsia="Calibri"/>
              </w:rPr>
              <w:t>'s research program, including the position, features and appearance of major organs in healthy animals of the species being examined</w:t>
            </w:r>
          </w:p>
          <w:p w14:paraId="0F3984D0" w14:textId="571B5F5C" w:rsidR="00C62358" w:rsidRPr="00385D0C" w:rsidRDefault="00527A39" w:rsidP="00385D0C">
            <w:pPr>
              <w:pStyle w:val="SIBulletList1"/>
              <w:rPr>
                <w:rFonts w:eastAsia="Calibri"/>
              </w:rPr>
            </w:pPr>
            <w:r w:rsidRPr="00385D0C">
              <w:rPr>
                <w:rFonts w:eastAsia="Calibri"/>
              </w:rPr>
              <w:t xml:space="preserve">basic </w:t>
            </w:r>
            <w:r w:rsidR="00C62358" w:rsidRPr="00385D0C">
              <w:rPr>
                <w:rFonts w:eastAsia="Calibri"/>
              </w:rPr>
              <w:t xml:space="preserve">anatomical and </w:t>
            </w:r>
            <w:r w:rsidR="00C62358" w:rsidRPr="00385D0C">
              <w:rPr>
                <w:rStyle w:val="SITemporaryText"/>
                <w:rFonts w:eastAsia="Calibri"/>
                <w:color w:val="auto"/>
                <w:sz w:val="20"/>
              </w:rPr>
              <w:t>physiological</w:t>
            </w:r>
            <w:r w:rsidR="00C62358" w:rsidRPr="00385D0C">
              <w:rPr>
                <w:rFonts w:eastAsia="Calibri"/>
              </w:rPr>
              <w:t xml:space="preserve"> </w:t>
            </w:r>
            <w:r w:rsidRPr="00385D0C">
              <w:rPr>
                <w:rFonts w:eastAsia="Calibri"/>
              </w:rPr>
              <w:t>features for</w:t>
            </w:r>
            <w:r w:rsidR="00C62358" w:rsidRPr="00385D0C">
              <w:rPr>
                <w:rFonts w:eastAsia="Calibri"/>
              </w:rPr>
              <w:t xml:space="preserve"> the species being examined</w:t>
            </w:r>
          </w:p>
          <w:p w14:paraId="283B0CE1" w14:textId="0D7D880F" w:rsidR="00527A39" w:rsidRPr="00385D0C" w:rsidRDefault="00527A39" w:rsidP="00385D0C">
            <w:pPr>
              <w:pStyle w:val="SIBulletList1"/>
              <w:rPr>
                <w:rFonts w:eastAsia="Calibri"/>
              </w:rPr>
            </w:pPr>
            <w:r w:rsidRPr="00385D0C">
              <w:rPr>
                <w:rFonts w:eastAsia="Calibri"/>
              </w:rPr>
              <w:t>terminology and formats to document findings in post-mortem examinations</w:t>
            </w:r>
          </w:p>
          <w:p w14:paraId="0EEA0CE3" w14:textId="2E66421D" w:rsidR="00527A39" w:rsidRDefault="00527A39" w:rsidP="00527A39">
            <w:pPr>
              <w:pStyle w:val="SIBulletList1"/>
              <w:rPr>
                <w:rFonts w:eastAsia="Calibri"/>
              </w:rPr>
            </w:pPr>
            <w:r>
              <w:rPr>
                <w:rStyle w:val="SITemporaryText"/>
                <w:rFonts w:eastAsia="Calibri"/>
              </w:rPr>
              <w:t xml:space="preserve">biosecurity and </w:t>
            </w:r>
            <w:r w:rsidR="00EE5798" w:rsidRPr="005E3903">
              <w:rPr>
                <w:rStyle w:val="SITemporaryText"/>
                <w:rFonts w:eastAsia="Calibri"/>
                <w:color w:val="auto"/>
                <w:sz w:val="20"/>
              </w:rPr>
              <w:t>biohazard</w:t>
            </w:r>
            <w:r w:rsidR="00EE5798" w:rsidRPr="00C62358">
              <w:rPr>
                <w:rFonts w:eastAsia="Calibri"/>
              </w:rPr>
              <w:t xml:space="preserve"> </w:t>
            </w:r>
            <w:r w:rsidR="00C62358" w:rsidRPr="00C62358">
              <w:rPr>
                <w:rFonts w:eastAsia="Calibri"/>
              </w:rPr>
              <w:t xml:space="preserve">issues (for animals and humans) </w:t>
            </w:r>
            <w:r w:rsidR="002A7CE2">
              <w:rPr>
                <w:rFonts w:eastAsia="Calibri"/>
              </w:rPr>
              <w:t>including</w:t>
            </w:r>
            <w:r>
              <w:rPr>
                <w:rFonts w:eastAsia="Calibri"/>
              </w:rPr>
              <w:t>:</w:t>
            </w:r>
          </w:p>
          <w:p w14:paraId="5EAC55DE" w14:textId="77777777" w:rsidR="002A7CE2" w:rsidRPr="002A7CE2" w:rsidRDefault="002A7CE2" w:rsidP="00527A39">
            <w:pPr>
              <w:pStyle w:val="SIBulletList2"/>
              <w:rPr>
                <w:rStyle w:val="SITemporaryText"/>
                <w:rFonts w:eastAsia="Calibri"/>
              </w:rPr>
            </w:pPr>
            <w:r w:rsidRPr="002A7CE2">
              <w:rPr>
                <w:rStyle w:val="SITemporaryText"/>
                <w:rFonts w:eastAsia="Calibri"/>
              </w:rPr>
              <w:t>definitions of biosecurity, biohazard, quarantine and isolation</w:t>
            </w:r>
          </w:p>
          <w:p w14:paraId="631F7F07" w14:textId="74E60D54" w:rsidR="00C62358" w:rsidRPr="00C62358" w:rsidRDefault="00CA3BF4" w:rsidP="00527A39">
            <w:pPr>
              <w:pStyle w:val="SIBulletList2"/>
              <w:rPr>
                <w:rFonts w:eastAsia="Calibri"/>
              </w:rPr>
            </w:pPr>
            <w:r w:rsidRPr="00CA3BF4">
              <w:rPr>
                <w:rFonts w:eastAsia="Calibri"/>
              </w:rPr>
              <w:t>post-mortem examination</w:t>
            </w:r>
            <w:r>
              <w:rPr>
                <w:rFonts w:eastAsia="Calibri"/>
              </w:rPr>
              <w:t xml:space="preserve"> and</w:t>
            </w:r>
            <w:r w:rsidRPr="00CA3BF4">
              <w:rPr>
                <w:rFonts w:eastAsia="Calibri"/>
              </w:rPr>
              <w:t xml:space="preserve"> </w:t>
            </w:r>
            <w:r w:rsidR="00C62358" w:rsidRPr="00C62358">
              <w:rPr>
                <w:rFonts w:eastAsia="Calibri"/>
              </w:rPr>
              <w:t xml:space="preserve">the collection </w:t>
            </w:r>
            <w:r w:rsidR="00C34EEA">
              <w:rPr>
                <w:rFonts w:eastAsia="Calibri"/>
              </w:rPr>
              <w:t xml:space="preserve">and disposal </w:t>
            </w:r>
            <w:r w:rsidR="00C62358" w:rsidRPr="00C62358">
              <w:rPr>
                <w:rFonts w:eastAsia="Calibri"/>
              </w:rPr>
              <w:t>of samples from animals</w:t>
            </w:r>
          </w:p>
          <w:p w14:paraId="4A591F69" w14:textId="2B462BD4" w:rsidR="00C62358" w:rsidRPr="00E40DE9" w:rsidRDefault="00E40DE9" w:rsidP="00527A39">
            <w:pPr>
              <w:pStyle w:val="SIBulletList2"/>
              <w:rPr>
                <w:rStyle w:val="SITemporaryText"/>
                <w:rFonts w:eastAsia="Calibri"/>
              </w:rPr>
            </w:pPr>
            <w:r w:rsidRPr="00E40DE9">
              <w:rPr>
                <w:rStyle w:val="SITemporaryText"/>
                <w:rFonts w:eastAsia="Calibri"/>
              </w:rPr>
              <w:t xml:space="preserve">facility </w:t>
            </w:r>
            <w:r w:rsidR="00C62358" w:rsidRPr="00E40DE9">
              <w:rPr>
                <w:rStyle w:val="SITemporaryText"/>
                <w:rFonts w:eastAsia="Calibri"/>
              </w:rPr>
              <w:t xml:space="preserve">classification </w:t>
            </w:r>
            <w:r w:rsidRPr="00E40DE9">
              <w:rPr>
                <w:rStyle w:val="SITemporaryText"/>
                <w:rFonts w:eastAsia="Calibri"/>
              </w:rPr>
              <w:t>and biocontainment levels</w:t>
            </w:r>
            <w:r w:rsidR="00CD5CB8" w:rsidRPr="00E40DE9">
              <w:rPr>
                <w:rStyle w:val="SITemporaryText"/>
                <w:rFonts w:eastAsia="Calibri"/>
              </w:rPr>
              <w:t xml:space="preserve"> </w:t>
            </w:r>
          </w:p>
          <w:p w14:paraId="00A5E0AE" w14:textId="77777777" w:rsidR="00C62358" w:rsidRPr="00C62358" w:rsidRDefault="00C62358" w:rsidP="00527A39">
            <w:pPr>
              <w:pStyle w:val="SIBulletList1"/>
              <w:rPr>
                <w:rFonts w:eastAsia="Calibri"/>
              </w:rPr>
            </w:pPr>
            <w:r w:rsidRPr="00C62358">
              <w:rPr>
                <w:rFonts w:eastAsia="Calibri"/>
              </w:rPr>
              <w:t>methods and equipment used to collect and prepare tissue and fluid samples for transport to testing area</w:t>
            </w:r>
          </w:p>
          <w:p w14:paraId="76A91620" w14:textId="406084F2" w:rsidR="00C62358" w:rsidRPr="00C62358" w:rsidRDefault="00C62358" w:rsidP="00527A39">
            <w:pPr>
              <w:pStyle w:val="SIBulletList1"/>
              <w:rPr>
                <w:rFonts w:eastAsia="Calibri"/>
              </w:rPr>
            </w:pPr>
            <w:r w:rsidRPr="00C62358">
              <w:rPr>
                <w:rFonts w:eastAsia="Calibri"/>
              </w:rPr>
              <w:t xml:space="preserve">organisational policies and safe work procedures, including </w:t>
            </w:r>
            <w:r w:rsidR="00DD63BA">
              <w:rPr>
                <w:rFonts w:eastAsia="Calibri"/>
              </w:rPr>
              <w:t>work health and safety (</w:t>
            </w:r>
            <w:r w:rsidRPr="00C62358">
              <w:rPr>
                <w:rFonts w:eastAsia="Calibri"/>
              </w:rPr>
              <w:t>WHS</w:t>
            </w:r>
            <w:r w:rsidR="00DD63BA">
              <w:rPr>
                <w:rFonts w:eastAsia="Calibri"/>
              </w:rPr>
              <w:t>)</w:t>
            </w:r>
            <w:r w:rsidRPr="00C62358">
              <w:rPr>
                <w:rFonts w:eastAsia="Calibri"/>
              </w:rPr>
              <w:t xml:space="preserve"> and emergency procedures</w:t>
            </w:r>
          </w:p>
          <w:p w14:paraId="36E863AF" w14:textId="2603D562" w:rsidR="00DD63BA" w:rsidRPr="00DD63BA" w:rsidRDefault="00DD63BA" w:rsidP="003E6FF3">
            <w:pPr>
              <w:pStyle w:val="SIBulletList1"/>
              <w:rPr>
                <w:rFonts w:eastAsia="Calibri"/>
              </w:rPr>
            </w:pPr>
            <w:r w:rsidRPr="00DD63BA">
              <w:rPr>
                <w:rFonts w:eastAsia="Calibri"/>
              </w:rPr>
              <w:t>key features of the Australian Code for the care and use of animals for scientific p</w:t>
            </w:r>
            <w:r w:rsidR="00C62358" w:rsidRPr="00DD63BA">
              <w:rPr>
                <w:rFonts w:eastAsia="Calibri"/>
              </w:rPr>
              <w:t>urposes</w:t>
            </w:r>
            <w:r w:rsidR="00FD209B">
              <w:rPr>
                <w:rFonts w:eastAsia="Calibri"/>
              </w:rPr>
              <w:t xml:space="preserve"> relevant to carrying out post-mortems</w:t>
            </w:r>
          </w:p>
          <w:p w14:paraId="0002391B" w14:textId="18B85F2D" w:rsidR="00DD63BA" w:rsidRDefault="00C62358" w:rsidP="00527A39">
            <w:pPr>
              <w:pStyle w:val="SIBulletList1"/>
              <w:rPr>
                <w:rFonts w:eastAsia="Calibri"/>
              </w:rPr>
            </w:pPr>
            <w:r w:rsidRPr="00C62358">
              <w:rPr>
                <w:rFonts w:eastAsia="Calibri"/>
              </w:rPr>
              <w:t>key requirements of relevant state or territory legislation and regulations</w:t>
            </w:r>
            <w:r w:rsidR="00DD63BA">
              <w:rPr>
                <w:rFonts w:eastAsia="Calibri"/>
              </w:rPr>
              <w:t>, relevant to conducting post-mortem examinations,</w:t>
            </w:r>
            <w:r w:rsidRPr="00C62358">
              <w:rPr>
                <w:rFonts w:eastAsia="Calibri"/>
              </w:rPr>
              <w:t xml:space="preserve"> relating to</w:t>
            </w:r>
            <w:r w:rsidR="00DD63BA">
              <w:rPr>
                <w:rFonts w:eastAsia="Calibri"/>
              </w:rPr>
              <w:t>:</w:t>
            </w:r>
          </w:p>
          <w:p w14:paraId="55119659" w14:textId="77777777" w:rsidR="00DD63BA" w:rsidRDefault="00C62358" w:rsidP="00DD63BA">
            <w:pPr>
              <w:pStyle w:val="SIBulletList2"/>
              <w:rPr>
                <w:rFonts w:eastAsia="Calibri"/>
              </w:rPr>
            </w:pPr>
            <w:r w:rsidRPr="00C62358">
              <w:rPr>
                <w:rFonts w:eastAsia="Calibri"/>
              </w:rPr>
              <w:t>the practice of veterinary science</w:t>
            </w:r>
          </w:p>
          <w:p w14:paraId="1F4B9D48" w14:textId="3BA73566" w:rsidR="00DD63BA" w:rsidRDefault="00DD63BA" w:rsidP="00DD63B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 </w:t>
            </w:r>
            <w:r w:rsidR="00CD5CB8">
              <w:rPr>
                <w:rFonts w:eastAsia="Calibri"/>
              </w:rPr>
              <w:t>health and safety</w:t>
            </w:r>
          </w:p>
          <w:p w14:paraId="782B4BC9" w14:textId="77777777" w:rsidR="00DD63BA" w:rsidRDefault="00C62358" w:rsidP="00DD63BA">
            <w:pPr>
              <w:pStyle w:val="SIBulletList2"/>
              <w:rPr>
                <w:rFonts w:eastAsia="Calibri"/>
              </w:rPr>
            </w:pPr>
            <w:r w:rsidRPr="00C62358">
              <w:rPr>
                <w:rFonts w:eastAsia="Calibri"/>
              </w:rPr>
              <w:t>animal welfare</w:t>
            </w:r>
          </w:p>
          <w:p w14:paraId="24B2F1A8" w14:textId="77777777" w:rsidR="00DD63BA" w:rsidRDefault="009B5446" w:rsidP="00DD63B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biosecurity</w:t>
            </w:r>
            <w:r w:rsidR="00DD63BA">
              <w:rPr>
                <w:rFonts w:eastAsia="Calibri"/>
              </w:rPr>
              <w:t xml:space="preserve"> and gene technology</w:t>
            </w:r>
          </w:p>
          <w:p w14:paraId="7CBA7ED6" w14:textId="1BFC5DCD" w:rsidR="00C62358" w:rsidRPr="00C62358" w:rsidRDefault="00C62358" w:rsidP="00DD63BA">
            <w:pPr>
              <w:pStyle w:val="SIBulletList2"/>
              <w:rPr>
                <w:rFonts w:eastAsia="Calibri"/>
              </w:rPr>
            </w:pPr>
            <w:r w:rsidRPr="00C62358">
              <w:rPr>
                <w:rFonts w:eastAsia="Calibri"/>
              </w:rPr>
              <w:t>animal research practices</w:t>
            </w:r>
          </w:p>
          <w:p w14:paraId="48C5E50A" w14:textId="77777777" w:rsidR="00C62358" w:rsidRPr="00C62358" w:rsidRDefault="00C62358" w:rsidP="00527A39">
            <w:pPr>
              <w:pStyle w:val="SIBulletList1"/>
              <w:rPr>
                <w:rFonts w:eastAsia="Calibri"/>
              </w:rPr>
            </w:pPr>
            <w:r w:rsidRPr="00C62358">
              <w:rPr>
                <w:rFonts w:eastAsia="Calibri"/>
              </w:rPr>
              <w:t>requirements for the correct preparation, labelling and packaging of biological and potentially hazardous samples</w:t>
            </w:r>
          </w:p>
          <w:p w14:paraId="6AF092C9" w14:textId="0CFB1EF0" w:rsidR="00C62358" w:rsidRPr="00C62358" w:rsidRDefault="00C62358" w:rsidP="00527A39">
            <w:pPr>
              <w:pStyle w:val="SIBulletList1"/>
              <w:rPr>
                <w:rFonts w:eastAsia="Calibri"/>
              </w:rPr>
            </w:pPr>
            <w:r w:rsidRPr="00C62358">
              <w:rPr>
                <w:rFonts w:eastAsia="Calibri"/>
              </w:rPr>
              <w:t>sequence of actions in conducting a post-mortem</w:t>
            </w:r>
          </w:p>
          <w:p w14:paraId="2A3C2746" w14:textId="3F74F8AF" w:rsidR="00C62358" w:rsidRPr="00C62358" w:rsidRDefault="00C62358" w:rsidP="00385D0C">
            <w:pPr>
              <w:pStyle w:val="SIBulletList1"/>
              <w:rPr>
                <w:rFonts w:eastAsia="Calibri"/>
              </w:rPr>
            </w:pPr>
            <w:r w:rsidRPr="00C62358">
              <w:rPr>
                <w:rFonts w:eastAsia="Calibri"/>
              </w:rPr>
              <w:t xml:space="preserve">specific </w:t>
            </w:r>
            <w:r w:rsidRPr="00385D0C">
              <w:rPr>
                <w:rFonts w:eastAsia="Calibri"/>
              </w:rPr>
              <w:t xml:space="preserve">post-mortem </w:t>
            </w:r>
            <w:r w:rsidR="00C9449F" w:rsidRPr="00385D0C">
              <w:rPr>
                <w:rStyle w:val="SITemporaryText"/>
                <w:rFonts w:eastAsia="Calibri"/>
                <w:color w:val="auto"/>
                <w:sz w:val="20"/>
              </w:rPr>
              <w:t>and biosecurity</w:t>
            </w:r>
            <w:r w:rsidR="00C9449F" w:rsidRPr="00385D0C">
              <w:rPr>
                <w:rFonts w:eastAsia="Calibri"/>
              </w:rPr>
              <w:t xml:space="preserve"> </w:t>
            </w:r>
            <w:r w:rsidRPr="00385D0C">
              <w:rPr>
                <w:rFonts w:eastAsia="Calibri"/>
              </w:rPr>
              <w:t xml:space="preserve">clean-up </w:t>
            </w:r>
            <w:r w:rsidR="00C34EEA" w:rsidRPr="00B42548">
              <w:rPr>
                <w:rStyle w:val="SITemporaryText"/>
                <w:rFonts w:eastAsia="Calibri"/>
                <w:color w:val="auto"/>
                <w:sz w:val="20"/>
              </w:rPr>
              <w:t>and disposal</w:t>
            </w:r>
            <w:r w:rsidR="00C34EEA" w:rsidRPr="00385D0C">
              <w:rPr>
                <w:rFonts w:eastAsia="Calibri"/>
              </w:rPr>
              <w:t xml:space="preserve"> </w:t>
            </w:r>
            <w:r w:rsidRPr="00385D0C">
              <w:rPr>
                <w:rFonts w:eastAsia="Calibri"/>
              </w:rPr>
              <w:t>techniques</w:t>
            </w:r>
            <w:r w:rsidRPr="00C62358">
              <w:rPr>
                <w:rFonts w:eastAsia="Calibri"/>
              </w:rPr>
              <w:t>, equipment and materials</w:t>
            </w:r>
          </w:p>
          <w:p w14:paraId="14E31E58" w14:textId="7712104C" w:rsidR="00F1480E" w:rsidRPr="000754EC" w:rsidRDefault="00C62358" w:rsidP="00527A39">
            <w:pPr>
              <w:pStyle w:val="SIBulletList1"/>
            </w:pPr>
            <w:proofErr w:type="gramStart"/>
            <w:r w:rsidRPr="00C62358">
              <w:rPr>
                <w:rFonts w:eastAsia="Calibri"/>
              </w:rPr>
              <w:t>workplace</w:t>
            </w:r>
            <w:proofErr w:type="gramEnd"/>
            <w:r w:rsidRPr="00C62358">
              <w:rPr>
                <w:rFonts w:eastAsia="Calibri"/>
              </w:rPr>
              <w:t xml:space="preserve"> hygiene standards, disinfectants</w:t>
            </w:r>
            <w:r w:rsidR="00143A34">
              <w:rPr>
                <w:rFonts w:eastAsia="Calibri"/>
              </w:rPr>
              <w:t xml:space="preserve"> and</w:t>
            </w:r>
            <w:r w:rsidRPr="00C62358">
              <w:rPr>
                <w:rFonts w:eastAsia="Calibri"/>
              </w:rPr>
              <w:t xml:space="preserve"> cleaning agents, techniques and equipment and materials</w:t>
            </w:r>
            <w:r w:rsidRPr="00C62358">
              <w:t>.</w:t>
            </w:r>
          </w:p>
        </w:tc>
      </w:tr>
    </w:tbl>
    <w:p w14:paraId="429E55D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C191DB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50069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B281B24" w14:textId="77777777" w:rsidTr="00CA2922">
        <w:tc>
          <w:tcPr>
            <w:tcW w:w="5000" w:type="pct"/>
            <w:shd w:val="clear" w:color="auto" w:fill="auto"/>
          </w:tcPr>
          <w:p w14:paraId="7A95563B" w14:textId="77777777" w:rsidR="00C62358" w:rsidRPr="00C62358" w:rsidRDefault="00C62358" w:rsidP="00C62358">
            <w:pPr>
              <w:pStyle w:val="SIText"/>
            </w:pPr>
            <w:r w:rsidRPr="00C62358">
              <w:t xml:space="preserve">Assessment of skills must take place under the following conditions: </w:t>
            </w:r>
          </w:p>
          <w:p w14:paraId="4E1A1F73" w14:textId="77777777" w:rsidR="00C62358" w:rsidRPr="00C62358" w:rsidRDefault="00C62358" w:rsidP="00C62358">
            <w:pPr>
              <w:pStyle w:val="SIBulletList1"/>
            </w:pPr>
            <w:r w:rsidRPr="00C62358">
              <w:t>physical conditions:</w:t>
            </w:r>
          </w:p>
          <w:p w14:paraId="5B356F18" w14:textId="77777777" w:rsidR="00C62358" w:rsidRPr="00C62358" w:rsidRDefault="00C62358" w:rsidP="00C62358">
            <w:pPr>
              <w:pStyle w:val="SIBulletList2"/>
              <w:rPr>
                <w:rFonts w:eastAsia="Calibri"/>
              </w:rPr>
            </w:pPr>
            <w:r w:rsidRPr="00C62358">
              <w:t>skills must be demonstrated in a workplace setting or an environment that accurately represents workplace conditions</w:t>
            </w:r>
          </w:p>
          <w:p w14:paraId="2BF3D046" w14:textId="77777777" w:rsidR="00C62358" w:rsidRPr="00C62358" w:rsidRDefault="00C62358" w:rsidP="00C62358">
            <w:pPr>
              <w:pStyle w:val="SIBulletList1"/>
            </w:pPr>
            <w:r w:rsidRPr="00C62358">
              <w:t>resources, equipment and materials:</w:t>
            </w:r>
          </w:p>
          <w:p w14:paraId="4389DE21" w14:textId="77777777" w:rsidR="00C62358" w:rsidRPr="00C62358" w:rsidRDefault="00C62358" w:rsidP="00C62358">
            <w:pPr>
              <w:pStyle w:val="SIBulletList2"/>
              <w:rPr>
                <w:rFonts w:eastAsia="Calibri"/>
              </w:rPr>
            </w:pPr>
            <w:r w:rsidRPr="00C62358">
              <w:rPr>
                <w:rFonts w:eastAsia="Calibri"/>
              </w:rPr>
              <w:t>equipment and resources used when conducting a post-mortem examination, including personal protective equipment</w:t>
            </w:r>
          </w:p>
          <w:p w14:paraId="1B1B6385" w14:textId="0D8B41CF" w:rsidR="00C62358" w:rsidRPr="00C62358" w:rsidRDefault="00DD63BA" w:rsidP="00C6235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research </w:t>
            </w:r>
            <w:r w:rsidR="00C62358" w:rsidRPr="00C62358">
              <w:rPr>
                <w:rFonts w:eastAsia="Calibri"/>
              </w:rPr>
              <w:t>animals for post-mortem examination</w:t>
            </w:r>
          </w:p>
          <w:p w14:paraId="04C59C65" w14:textId="77777777" w:rsidR="00C62358" w:rsidRPr="00C62358" w:rsidRDefault="00C62358" w:rsidP="00C62358">
            <w:pPr>
              <w:pStyle w:val="SIBulletList1"/>
              <w:rPr>
                <w:rFonts w:eastAsia="Calibri"/>
              </w:rPr>
            </w:pPr>
            <w:r w:rsidRPr="00C62358">
              <w:rPr>
                <w:rFonts w:eastAsia="Calibri"/>
              </w:rPr>
              <w:t>specifications:</w:t>
            </w:r>
          </w:p>
          <w:p w14:paraId="2C0D6F36" w14:textId="77777777" w:rsidR="00C62358" w:rsidRPr="00C62358" w:rsidRDefault="00C62358" w:rsidP="00C62358">
            <w:pPr>
              <w:pStyle w:val="SIBulletList2"/>
              <w:rPr>
                <w:rFonts w:eastAsia="Calibri"/>
              </w:rPr>
            </w:pPr>
            <w:proofErr w:type="gramStart"/>
            <w:r w:rsidRPr="00C62358">
              <w:rPr>
                <w:rFonts w:eastAsia="Calibri"/>
              </w:rPr>
              <w:lastRenderedPageBreak/>
              <w:t>organisational</w:t>
            </w:r>
            <w:proofErr w:type="gramEnd"/>
            <w:r w:rsidRPr="00C62358">
              <w:rPr>
                <w:rFonts w:eastAsia="Calibri"/>
              </w:rPr>
              <w:t xml:space="preserve"> policies and procedures, legislation, regulations, standards and codes of practice relevant to work undertaken in animal research.</w:t>
            </w:r>
          </w:p>
          <w:p w14:paraId="1A703E04" w14:textId="77777777" w:rsidR="00C62358" w:rsidRPr="00C62358" w:rsidRDefault="00C62358" w:rsidP="00C62358">
            <w:pPr>
              <w:pStyle w:val="SIText"/>
            </w:pPr>
          </w:p>
          <w:p w14:paraId="5F07D94C" w14:textId="77777777" w:rsidR="00F1480E" w:rsidRPr="000754EC" w:rsidRDefault="00C62358" w:rsidP="00C62358">
            <w:pPr>
              <w:pStyle w:val="SIText"/>
              <w:rPr>
                <w:rFonts w:eastAsia="Calibri"/>
              </w:rPr>
            </w:pPr>
            <w:r w:rsidRPr="00C6235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CA6087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A81CE9D" w14:textId="77777777" w:rsidTr="004679E3">
        <w:tc>
          <w:tcPr>
            <w:tcW w:w="990" w:type="pct"/>
            <w:shd w:val="clear" w:color="auto" w:fill="auto"/>
          </w:tcPr>
          <w:p w14:paraId="689EEB7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3BCC75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C393A63" w14:textId="77777777" w:rsidR="00F1480E" w:rsidRPr="000754EC" w:rsidRDefault="00FB3614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10E0578C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5C3D2B" w16cid:durableId="200D5B4C"/>
  <w16cid:commentId w16cid:paraId="45A2AFEB" w16cid:durableId="201FE190"/>
  <w16cid:commentId w16cid:paraId="62830288" w16cid:durableId="201FE191"/>
  <w16cid:commentId w16cid:paraId="02B551DE" w16cid:durableId="201FE192"/>
  <w16cid:commentId w16cid:paraId="5E6B8BA6" w16cid:durableId="200D5688"/>
  <w16cid:commentId w16cid:paraId="076A4935" w16cid:durableId="200D58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918EC" w14:textId="77777777" w:rsidR="00FB3614" w:rsidRDefault="00FB3614" w:rsidP="00BF3F0A">
      <w:r>
        <w:separator/>
      </w:r>
    </w:p>
    <w:p w14:paraId="4B0E005B" w14:textId="77777777" w:rsidR="00FB3614" w:rsidRDefault="00FB3614"/>
  </w:endnote>
  <w:endnote w:type="continuationSeparator" w:id="0">
    <w:p w14:paraId="28F1B5AC" w14:textId="77777777" w:rsidR="00FB3614" w:rsidRDefault="00FB3614" w:rsidP="00BF3F0A">
      <w:r>
        <w:continuationSeparator/>
      </w:r>
    </w:p>
    <w:p w14:paraId="5BD358EE" w14:textId="77777777" w:rsidR="00FB3614" w:rsidRDefault="00FB3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7854A" w14:textId="77777777" w:rsidR="00B42548" w:rsidRDefault="00B425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27F634B" w14:textId="7793E38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42548">
          <w:rPr>
            <w:noProof/>
          </w:rPr>
          <w:t>1</w:t>
        </w:r>
        <w:r w:rsidRPr="000754EC">
          <w:fldChar w:fldCharType="end"/>
        </w:r>
      </w:p>
      <w:p w14:paraId="2C110D9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5421492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6ADB4" w14:textId="77777777" w:rsidR="00B42548" w:rsidRDefault="00B425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134CE" w14:textId="77777777" w:rsidR="00FB3614" w:rsidRDefault="00FB3614" w:rsidP="00BF3F0A">
      <w:r>
        <w:separator/>
      </w:r>
    </w:p>
    <w:p w14:paraId="1123958F" w14:textId="77777777" w:rsidR="00FB3614" w:rsidRDefault="00FB3614"/>
  </w:footnote>
  <w:footnote w:type="continuationSeparator" w:id="0">
    <w:p w14:paraId="6F67FE17" w14:textId="77777777" w:rsidR="00FB3614" w:rsidRDefault="00FB3614" w:rsidP="00BF3F0A">
      <w:r>
        <w:continuationSeparator/>
      </w:r>
    </w:p>
    <w:p w14:paraId="038BAFB8" w14:textId="77777777" w:rsidR="00FB3614" w:rsidRDefault="00FB3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A0B3" w14:textId="77777777" w:rsidR="00B42548" w:rsidRDefault="00B425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C4ED" w14:textId="7568DB5C" w:rsidR="009C2650" w:rsidRPr="000754EC" w:rsidRDefault="00B42548" w:rsidP="00146EEC">
    <w:pPr>
      <w:pStyle w:val="SIText"/>
    </w:pPr>
    <w:sdt>
      <w:sdtPr>
        <w:id w:val="-1519922997"/>
        <w:docPartObj>
          <w:docPartGallery w:val="Watermarks"/>
          <w:docPartUnique/>
        </w:docPartObj>
      </w:sdtPr>
      <w:sdtContent>
        <w:r w:rsidRPr="00B42548">
          <w:pict w14:anchorId="2D1D5B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F795F">
      <w:t>A</w:t>
    </w:r>
    <w:r w:rsidR="0051042A">
      <w:t>CMATE</w:t>
    </w:r>
    <w:r w:rsidR="00C62358">
      <w:t xml:space="preserve">503 </w:t>
    </w:r>
    <w:r w:rsidR="00C62358" w:rsidRPr="00C62358">
      <w:t>Carry out post-mortem examination of a research animal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1C973" w14:textId="77777777" w:rsidR="00B42548" w:rsidRDefault="00B425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2ABE"/>
    <w:rsid w:val="00005A15"/>
    <w:rsid w:val="0001108F"/>
    <w:rsid w:val="000115E2"/>
    <w:rsid w:val="000126D0"/>
    <w:rsid w:val="0001296A"/>
    <w:rsid w:val="00016803"/>
    <w:rsid w:val="000209B4"/>
    <w:rsid w:val="00023992"/>
    <w:rsid w:val="0002514C"/>
    <w:rsid w:val="000275AE"/>
    <w:rsid w:val="00041E59"/>
    <w:rsid w:val="00064BFE"/>
    <w:rsid w:val="00070B3E"/>
    <w:rsid w:val="00071F95"/>
    <w:rsid w:val="000737BB"/>
    <w:rsid w:val="00074E47"/>
    <w:rsid w:val="000754EC"/>
    <w:rsid w:val="00077004"/>
    <w:rsid w:val="0009093B"/>
    <w:rsid w:val="000A5441"/>
    <w:rsid w:val="000C149A"/>
    <w:rsid w:val="000C224E"/>
    <w:rsid w:val="000E25E6"/>
    <w:rsid w:val="000E2C86"/>
    <w:rsid w:val="000F29F2"/>
    <w:rsid w:val="000F62DE"/>
    <w:rsid w:val="00101659"/>
    <w:rsid w:val="00105AEA"/>
    <w:rsid w:val="001078BF"/>
    <w:rsid w:val="00121957"/>
    <w:rsid w:val="00133957"/>
    <w:rsid w:val="001372F6"/>
    <w:rsid w:val="00143A34"/>
    <w:rsid w:val="00144385"/>
    <w:rsid w:val="00146EEC"/>
    <w:rsid w:val="00151D55"/>
    <w:rsid w:val="00151D93"/>
    <w:rsid w:val="00156EF3"/>
    <w:rsid w:val="00160C82"/>
    <w:rsid w:val="00176E4F"/>
    <w:rsid w:val="0018546B"/>
    <w:rsid w:val="001A49EB"/>
    <w:rsid w:val="001A6A3E"/>
    <w:rsid w:val="001A7B6D"/>
    <w:rsid w:val="001B34D5"/>
    <w:rsid w:val="001B513A"/>
    <w:rsid w:val="001C0A75"/>
    <w:rsid w:val="001C1306"/>
    <w:rsid w:val="001C4390"/>
    <w:rsid w:val="001D30EB"/>
    <w:rsid w:val="001D5C1B"/>
    <w:rsid w:val="001D7F5B"/>
    <w:rsid w:val="001E0849"/>
    <w:rsid w:val="001E16BC"/>
    <w:rsid w:val="001E16DF"/>
    <w:rsid w:val="001E325B"/>
    <w:rsid w:val="001F2BA5"/>
    <w:rsid w:val="001F308D"/>
    <w:rsid w:val="00201A7C"/>
    <w:rsid w:val="00207A8F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A7CE2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772F"/>
    <w:rsid w:val="00337E82"/>
    <w:rsid w:val="00346FDC"/>
    <w:rsid w:val="00350BB1"/>
    <w:rsid w:val="00352C83"/>
    <w:rsid w:val="00366805"/>
    <w:rsid w:val="0037067D"/>
    <w:rsid w:val="00373436"/>
    <w:rsid w:val="00385D0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05B5"/>
    <w:rsid w:val="003E0821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3479"/>
    <w:rsid w:val="004640AE"/>
    <w:rsid w:val="004679E3"/>
    <w:rsid w:val="00475172"/>
    <w:rsid w:val="004758B0"/>
    <w:rsid w:val="004824A9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5BEE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042A"/>
    <w:rsid w:val="00510546"/>
    <w:rsid w:val="00520E9A"/>
    <w:rsid w:val="005248C1"/>
    <w:rsid w:val="00526134"/>
    <w:rsid w:val="00527A39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3903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24F8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02D0"/>
    <w:rsid w:val="00771B60"/>
    <w:rsid w:val="00781D77"/>
    <w:rsid w:val="00783549"/>
    <w:rsid w:val="00784C23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4AC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517D"/>
    <w:rsid w:val="00997BFC"/>
    <w:rsid w:val="009A5900"/>
    <w:rsid w:val="009A6E6C"/>
    <w:rsid w:val="009A6F3F"/>
    <w:rsid w:val="009B331A"/>
    <w:rsid w:val="009B5446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2548"/>
    <w:rsid w:val="00B443EE"/>
    <w:rsid w:val="00B560C8"/>
    <w:rsid w:val="00B61150"/>
    <w:rsid w:val="00B65BC7"/>
    <w:rsid w:val="00B66E5C"/>
    <w:rsid w:val="00B746B9"/>
    <w:rsid w:val="00B848D4"/>
    <w:rsid w:val="00B865B7"/>
    <w:rsid w:val="00B942C2"/>
    <w:rsid w:val="00BA1CB1"/>
    <w:rsid w:val="00BA4178"/>
    <w:rsid w:val="00BA482D"/>
    <w:rsid w:val="00BB1755"/>
    <w:rsid w:val="00BB23F4"/>
    <w:rsid w:val="00BB2D3A"/>
    <w:rsid w:val="00BC5075"/>
    <w:rsid w:val="00BC5419"/>
    <w:rsid w:val="00BD3B0F"/>
    <w:rsid w:val="00BE6168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34EEA"/>
    <w:rsid w:val="00C578E9"/>
    <w:rsid w:val="00C62358"/>
    <w:rsid w:val="00C70626"/>
    <w:rsid w:val="00C72860"/>
    <w:rsid w:val="00C73582"/>
    <w:rsid w:val="00C73B90"/>
    <w:rsid w:val="00C742EC"/>
    <w:rsid w:val="00C9449F"/>
    <w:rsid w:val="00C96AF3"/>
    <w:rsid w:val="00C97CCC"/>
    <w:rsid w:val="00CA0274"/>
    <w:rsid w:val="00CA3BF4"/>
    <w:rsid w:val="00CB04CF"/>
    <w:rsid w:val="00CB746F"/>
    <w:rsid w:val="00CC451E"/>
    <w:rsid w:val="00CC611F"/>
    <w:rsid w:val="00CD4E9D"/>
    <w:rsid w:val="00CD4F4D"/>
    <w:rsid w:val="00CD5CB8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D63BA"/>
    <w:rsid w:val="00E238E6"/>
    <w:rsid w:val="00E35064"/>
    <w:rsid w:val="00E3681D"/>
    <w:rsid w:val="00E40225"/>
    <w:rsid w:val="00E40DE9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D34C5"/>
    <w:rsid w:val="00EE5798"/>
    <w:rsid w:val="00EF01F8"/>
    <w:rsid w:val="00EF40EF"/>
    <w:rsid w:val="00EF47FE"/>
    <w:rsid w:val="00F006D7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B3614"/>
    <w:rsid w:val="00FD209B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0085F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DA9A3CE451F4F847593E255ED4469" ma:contentTypeVersion="" ma:contentTypeDescription="Create a new document." ma:contentTypeScope="" ma:versionID="0a2c8fd42f13fb543ef380b6aed3185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1053cd1-1fd5-4b99-ac3f-8d3c4e3c6621" targetNamespace="http://schemas.microsoft.com/office/2006/metadata/properties" ma:root="true" ma:fieldsID="50ecfc6c1a1a2ff6f25cc0167028fc2e" ns1:_="" ns2:_="" ns3:_="">
    <xsd:import namespace="http://schemas.microsoft.com/sharepoint/v3"/>
    <xsd:import namespace="d50bbff7-d6dd-47d2-864a-cfdc2c3db0f4"/>
    <xsd:import namespace="b1053cd1-1fd5-4b99-ac3f-8d3c4e3c66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3cd1-1fd5-4b99-ac3f-8d3c4e3c6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C8E0B874-2B89-407F-B0AE-55F47473A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1053cd1-1fd5-4b99-ac3f-8d3c4e3c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2F537-96F6-4ED3-90F6-D8EA236E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Susie Falk</cp:lastModifiedBy>
  <cp:revision>3</cp:revision>
  <cp:lastPrinted>2019-02-22T04:46:00Z</cp:lastPrinted>
  <dcterms:created xsi:type="dcterms:W3CDTF">2019-03-20T02:14:00Z</dcterms:created>
  <dcterms:modified xsi:type="dcterms:W3CDTF">2019-03-20T02:15:00Z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0x01010058BDA9A3CE451F4F847593E255ED4469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