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18916CF" w:rsidR="00F1480E" w:rsidRPr="000754EC" w:rsidRDefault="00AD4E33" w:rsidP="000754EC">
            <w:pPr>
              <w:pStyle w:val="SIUNITCODE"/>
            </w:pPr>
            <w:r>
              <w:t>SFICPL315</w:t>
            </w:r>
          </w:p>
        </w:tc>
        <w:tc>
          <w:tcPr>
            <w:tcW w:w="3604" w:type="pct"/>
            <w:shd w:val="clear" w:color="auto" w:fill="auto"/>
          </w:tcPr>
          <w:p w14:paraId="41850966" w14:textId="1E82CAF2" w:rsidR="00F1480E" w:rsidRPr="000754EC" w:rsidRDefault="007405B6" w:rsidP="000754EC">
            <w:pPr>
              <w:pStyle w:val="SIUnittitle"/>
            </w:pPr>
            <w:r w:rsidRPr="007405B6">
              <w:t>Support the judicial process</w:t>
            </w:r>
          </w:p>
        </w:tc>
      </w:tr>
      <w:tr w:rsidR="007405B6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7405B6" w:rsidRPr="007405B6" w:rsidRDefault="007405B6" w:rsidP="007405B6">
            <w:pPr>
              <w:pStyle w:val="SIHeading2"/>
            </w:pPr>
            <w:r w:rsidRPr="00FD557D">
              <w:t>Application</w:t>
            </w:r>
          </w:p>
          <w:p w14:paraId="5D1C7433" w14:textId="77777777" w:rsidR="007405B6" w:rsidRPr="00923720" w:rsidRDefault="007405B6" w:rsidP="007405B6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EB1332" w14:textId="0F6D5346" w:rsidR="007405B6" w:rsidRDefault="007405B6" w:rsidP="007405B6">
            <w:pPr>
              <w:pStyle w:val="SIText"/>
            </w:pPr>
            <w:r w:rsidRPr="007405B6">
              <w:t>This unit of competency describes the skills and knowledge required to play a supporting role in the judicial process.</w:t>
            </w:r>
          </w:p>
          <w:p w14:paraId="6006C3AB" w14:textId="77777777" w:rsidR="00AC7D4B" w:rsidRPr="007405B6" w:rsidRDefault="00AC7D4B" w:rsidP="007405B6">
            <w:pPr>
              <w:pStyle w:val="SIText"/>
            </w:pPr>
          </w:p>
          <w:p w14:paraId="5D4C2081" w14:textId="70206025" w:rsidR="007405B6" w:rsidRDefault="007405B6" w:rsidP="007405B6">
            <w:pPr>
              <w:pStyle w:val="SIText"/>
            </w:pPr>
            <w:r w:rsidRPr="007405B6">
              <w:t>The unit applies to individuals who prepare and manage evidence, witnesses and offenders, present evidence and follow up on the outcomes of proceedings.</w:t>
            </w:r>
          </w:p>
          <w:p w14:paraId="03E8AF9B" w14:textId="1896D2CB" w:rsidR="00EE268B" w:rsidRPr="007405B6" w:rsidRDefault="00EE268B" w:rsidP="007405B6">
            <w:pPr>
              <w:pStyle w:val="SIText"/>
            </w:pPr>
          </w:p>
          <w:p w14:paraId="222DE076" w14:textId="35C9AB75" w:rsidR="007405B6" w:rsidRPr="007405B6" w:rsidRDefault="005D7FAF" w:rsidP="004854B2">
            <w:r>
              <w:t>Regulatory requirements apply to this unit. Users are required to check with the relevant jurisdiction for current requirements.</w:t>
            </w:r>
          </w:p>
        </w:tc>
      </w:tr>
      <w:tr w:rsidR="007405B6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7405B6" w:rsidRPr="007405B6" w:rsidRDefault="007405B6" w:rsidP="007405B6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7405B6" w:rsidRPr="007405B6" w:rsidRDefault="007405B6" w:rsidP="007405B6">
            <w:pPr>
              <w:pStyle w:val="SIText"/>
            </w:pPr>
            <w:r w:rsidRPr="008908DE">
              <w:t>Ni</w:t>
            </w:r>
            <w:r w:rsidRPr="007405B6">
              <w:t xml:space="preserve">l </w:t>
            </w:r>
          </w:p>
        </w:tc>
      </w:tr>
      <w:tr w:rsidR="007405B6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7405B6" w:rsidRPr="007405B6" w:rsidRDefault="007405B6" w:rsidP="007405B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4C37AC1" w:rsidR="007405B6" w:rsidRPr="007405B6" w:rsidRDefault="007405B6" w:rsidP="007405B6">
            <w:pPr>
              <w:pStyle w:val="SIText"/>
            </w:pPr>
            <w:r>
              <w:t>Compliance (</w:t>
            </w:r>
            <w:r w:rsidR="005D7FAF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405B6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DBF4A69" w:rsidR="007405B6" w:rsidRPr="007405B6" w:rsidRDefault="007405B6" w:rsidP="007405B6">
            <w:pPr>
              <w:pStyle w:val="SIText"/>
            </w:pPr>
            <w:r w:rsidRPr="007405B6">
              <w:t>1</w:t>
            </w:r>
            <w:r>
              <w:t xml:space="preserve">. </w:t>
            </w:r>
            <w:r w:rsidRPr="007405B6">
              <w:t>Prepare and forward court documents</w:t>
            </w:r>
          </w:p>
        </w:tc>
        <w:tc>
          <w:tcPr>
            <w:tcW w:w="3604" w:type="pct"/>
            <w:shd w:val="clear" w:color="auto" w:fill="auto"/>
          </w:tcPr>
          <w:p w14:paraId="6C9CA12D" w14:textId="7383CACE" w:rsidR="007405B6" w:rsidRPr="007405B6" w:rsidRDefault="007405B6" w:rsidP="007405B6">
            <w:r w:rsidRPr="007405B6">
              <w:t>1.1</w:t>
            </w:r>
            <w:r>
              <w:t xml:space="preserve"> </w:t>
            </w:r>
            <w:r w:rsidR="002D3A72">
              <w:t>Prepare brief</w:t>
            </w:r>
            <w:r w:rsidR="00B66404">
              <w:t>s</w:t>
            </w:r>
            <w:r w:rsidR="002D3A72">
              <w:t xml:space="preserve"> of </w:t>
            </w:r>
            <w:r w:rsidR="00B66404">
              <w:t>evidence based on</w:t>
            </w:r>
            <w:r w:rsidR="00B66404" w:rsidRPr="007405B6">
              <w:t xml:space="preserve"> </w:t>
            </w:r>
            <w:r w:rsidR="00AC7D4B">
              <w:t xml:space="preserve">comprehensive and accurate </w:t>
            </w:r>
            <w:r w:rsidRPr="007405B6">
              <w:t>elements and points of proof</w:t>
            </w:r>
          </w:p>
          <w:p w14:paraId="4FE039C0" w14:textId="220842C4" w:rsidR="007405B6" w:rsidRPr="007405B6" w:rsidRDefault="007405B6" w:rsidP="007405B6">
            <w:r w:rsidRPr="007405B6">
              <w:t>1.2</w:t>
            </w:r>
            <w:r>
              <w:t xml:space="preserve"> </w:t>
            </w:r>
            <w:r w:rsidR="00B66404">
              <w:t>Ensure brief</w:t>
            </w:r>
            <w:r w:rsidR="00405733">
              <w:t>s</w:t>
            </w:r>
            <w:r w:rsidR="00B66404">
              <w:t xml:space="preserve"> of evidence c</w:t>
            </w:r>
            <w:r w:rsidRPr="007405B6">
              <w:t>omply with jurisdictional, court-required, document formats and presentation standards</w:t>
            </w:r>
          </w:p>
          <w:p w14:paraId="68146512" w14:textId="47277938" w:rsidR="007405B6" w:rsidRPr="007405B6" w:rsidRDefault="007405B6" w:rsidP="007405B6">
            <w:r w:rsidRPr="007405B6">
              <w:t>1.3</w:t>
            </w:r>
            <w:r>
              <w:t xml:space="preserve"> </w:t>
            </w:r>
            <w:r w:rsidRPr="007405B6">
              <w:t xml:space="preserve">Ensure briefs of evidence </w:t>
            </w:r>
            <w:r w:rsidR="0081553A">
              <w:t xml:space="preserve">and register of exhibits </w:t>
            </w:r>
            <w:r w:rsidRPr="007405B6">
              <w:t>comply with the jurisdiction's legal rules of evidence</w:t>
            </w:r>
          </w:p>
          <w:p w14:paraId="71765A13" w14:textId="3C73DA7D" w:rsidR="007405B6" w:rsidRPr="007405B6" w:rsidRDefault="007405B6" w:rsidP="007405B6">
            <w:r w:rsidRPr="007405B6">
              <w:t>1.4</w:t>
            </w:r>
            <w:r>
              <w:t xml:space="preserve"> </w:t>
            </w:r>
            <w:r w:rsidRPr="007405B6">
              <w:t xml:space="preserve">Forward documents to </w:t>
            </w:r>
            <w:r w:rsidR="000235CE">
              <w:t xml:space="preserve">relevant </w:t>
            </w:r>
            <w:r w:rsidRPr="007405B6">
              <w:t>persons and authorities within required timeframe</w:t>
            </w:r>
          </w:p>
          <w:p w14:paraId="202872FB" w14:textId="302227EC" w:rsidR="007405B6" w:rsidRPr="007405B6" w:rsidRDefault="007405B6" w:rsidP="007405B6">
            <w:pPr>
              <w:pStyle w:val="SIText"/>
            </w:pPr>
            <w:r w:rsidRPr="007405B6">
              <w:t>1.5</w:t>
            </w:r>
            <w:r>
              <w:t xml:space="preserve"> </w:t>
            </w:r>
            <w:r w:rsidRPr="007405B6">
              <w:t>Maintain the safety and security of witness evidence at all times</w:t>
            </w:r>
          </w:p>
        </w:tc>
      </w:tr>
      <w:tr w:rsidR="007405B6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ACE80BD" w:rsidR="007405B6" w:rsidRPr="007405B6" w:rsidRDefault="007405B6" w:rsidP="007405B6">
            <w:pPr>
              <w:pStyle w:val="SIText"/>
            </w:pPr>
            <w:r w:rsidRPr="007405B6">
              <w:t>2</w:t>
            </w:r>
            <w:r>
              <w:t xml:space="preserve">. </w:t>
            </w:r>
            <w:r w:rsidRPr="007405B6">
              <w:t>Manage witnesses</w:t>
            </w:r>
          </w:p>
        </w:tc>
        <w:tc>
          <w:tcPr>
            <w:tcW w:w="3604" w:type="pct"/>
            <w:shd w:val="clear" w:color="auto" w:fill="auto"/>
          </w:tcPr>
          <w:p w14:paraId="7F921405" w14:textId="6081C108" w:rsidR="007405B6" w:rsidRPr="007405B6" w:rsidRDefault="007405B6" w:rsidP="007405B6">
            <w:r w:rsidRPr="007405B6">
              <w:t>2.1</w:t>
            </w:r>
            <w:r>
              <w:t xml:space="preserve"> </w:t>
            </w:r>
            <w:r w:rsidRPr="007405B6">
              <w:t>Identify witnesses and arrange court appearances, transport and accommodation</w:t>
            </w:r>
          </w:p>
          <w:p w14:paraId="2217121B" w14:textId="28159B0E" w:rsidR="007405B6" w:rsidRPr="007405B6" w:rsidRDefault="007405B6" w:rsidP="007405B6">
            <w:r w:rsidRPr="007405B6">
              <w:t>2.2</w:t>
            </w:r>
            <w:r>
              <w:t xml:space="preserve"> </w:t>
            </w:r>
            <w:r w:rsidRPr="007405B6">
              <w:t>Arrange and serve witness summonses in accordance with jurisdictional law to ensure witness attendance at courts</w:t>
            </w:r>
          </w:p>
          <w:p w14:paraId="6A1E6D3F" w14:textId="2B7CFB42" w:rsidR="007405B6" w:rsidRPr="007405B6" w:rsidRDefault="007405B6" w:rsidP="007405B6">
            <w:r w:rsidRPr="007405B6">
              <w:t>2.3</w:t>
            </w:r>
            <w:r>
              <w:t xml:space="preserve"> </w:t>
            </w:r>
            <w:r w:rsidRPr="007405B6">
              <w:t>Maintain liaison and support of witnesses before, during and after the trial</w:t>
            </w:r>
          </w:p>
          <w:p w14:paraId="2C52091E" w14:textId="67A49AE1" w:rsidR="007405B6" w:rsidRPr="007405B6" w:rsidRDefault="007405B6" w:rsidP="007405B6">
            <w:r w:rsidRPr="007405B6">
              <w:t>2.4</w:t>
            </w:r>
            <w:r>
              <w:t xml:space="preserve"> </w:t>
            </w:r>
            <w:r w:rsidRPr="007405B6">
              <w:t>Prepare witnesses in an ethical manner to enable them to present their evidence in court</w:t>
            </w:r>
          </w:p>
          <w:p w14:paraId="2B73179F" w14:textId="2F246411" w:rsidR="007405B6" w:rsidRPr="007405B6" w:rsidRDefault="007405B6" w:rsidP="007405B6">
            <w:pPr>
              <w:pStyle w:val="SIText"/>
            </w:pPr>
            <w:r w:rsidRPr="007405B6">
              <w:t>2.5</w:t>
            </w:r>
            <w:r>
              <w:t xml:space="preserve"> </w:t>
            </w:r>
            <w:r w:rsidRPr="007405B6">
              <w:t>Apply witness protection procedures as necessary</w:t>
            </w:r>
          </w:p>
        </w:tc>
      </w:tr>
      <w:tr w:rsidR="007405B6" w:rsidRPr="00963A46" w14:paraId="30538C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02E223" w14:textId="72A20AAF" w:rsidR="007405B6" w:rsidRDefault="007405B6" w:rsidP="007405B6">
            <w:r w:rsidRPr="007405B6">
              <w:t>3</w:t>
            </w:r>
            <w:r>
              <w:t xml:space="preserve">. </w:t>
            </w:r>
            <w:r w:rsidRPr="007405B6">
              <w:t>Monitor offenders</w:t>
            </w:r>
          </w:p>
        </w:tc>
        <w:tc>
          <w:tcPr>
            <w:tcW w:w="3604" w:type="pct"/>
            <w:shd w:val="clear" w:color="auto" w:fill="auto"/>
          </w:tcPr>
          <w:p w14:paraId="2A28CA84" w14:textId="0B3F0F7D" w:rsidR="007405B6" w:rsidRPr="007405B6" w:rsidRDefault="007405B6" w:rsidP="007405B6">
            <w:r w:rsidRPr="007405B6">
              <w:t>3.1</w:t>
            </w:r>
            <w:r>
              <w:t xml:space="preserve"> </w:t>
            </w:r>
            <w:r w:rsidRPr="007405B6">
              <w:t>Complete documentation used in the monitoring of offenders in compliance with court requirements</w:t>
            </w:r>
          </w:p>
          <w:p w14:paraId="79EDF28E" w14:textId="0650D484" w:rsidR="007405B6" w:rsidRPr="007405B6" w:rsidRDefault="007405B6" w:rsidP="007405B6">
            <w:r w:rsidRPr="007405B6">
              <w:t>3.2</w:t>
            </w:r>
            <w:r>
              <w:t xml:space="preserve"> </w:t>
            </w:r>
            <w:r w:rsidRPr="007405B6">
              <w:t>Ensure that procedures for monitoring offenders are in compliance with court requirements</w:t>
            </w:r>
          </w:p>
          <w:p w14:paraId="387F322A" w14:textId="5F68C5AE" w:rsidR="007405B6" w:rsidRPr="007405B6" w:rsidRDefault="007405B6" w:rsidP="007405B6">
            <w:r w:rsidRPr="007405B6">
              <w:t>3.3</w:t>
            </w:r>
            <w:r>
              <w:t xml:space="preserve"> </w:t>
            </w:r>
            <w:r w:rsidRPr="007405B6">
              <w:t>Advise appropriate authorities and parties of bail conditions, further proceedings and the court's requirements in a timely manner</w:t>
            </w:r>
          </w:p>
          <w:p w14:paraId="3AAA3F84" w14:textId="1B69C68C" w:rsidR="007405B6" w:rsidRDefault="007405B6" w:rsidP="007405B6">
            <w:r w:rsidRPr="007405B6">
              <w:t>3.4</w:t>
            </w:r>
            <w:r>
              <w:t xml:space="preserve"> </w:t>
            </w:r>
            <w:r w:rsidRPr="007405B6">
              <w:t>Apply procedures to ensure offenders’ compliance with court requirements</w:t>
            </w:r>
          </w:p>
        </w:tc>
      </w:tr>
      <w:tr w:rsidR="007405B6" w:rsidRPr="00963A46" w14:paraId="0657F3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C1979E" w14:textId="2FD8F41A" w:rsidR="007405B6" w:rsidRDefault="007405B6" w:rsidP="007405B6">
            <w:r w:rsidRPr="007405B6">
              <w:t>4</w:t>
            </w:r>
            <w:r>
              <w:t xml:space="preserve">. </w:t>
            </w:r>
            <w:r w:rsidRPr="007405B6">
              <w:t>Liaise with and assist prosecuting authority</w:t>
            </w:r>
          </w:p>
        </w:tc>
        <w:tc>
          <w:tcPr>
            <w:tcW w:w="3604" w:type="pct"/>
            <w:shd w:val="clear" w:color="auto" w:fill="auto"/>
          </w:tcPr>
          <w:p w14:paraId="226B2BD8" w14:textId="53531521" w:rsidR="007405B6" w:rsidRPr="007405B6" w:rsidRDefault="007405B6" w:rsidP="007405B6">
            <w:r w:rsidRPr="007405B6">
              <w:t>4.1</w:t>
            </w:r>
            <w:r>
              <w:t xml:space="preserve"> </w:t>
            </w:r>
            <w:r w:rsidRPr="007405B6">
              <w:t xml:space="preserve">Confirm arrangements, role and involvement in </w:t>
            </w:r>
            <w:r w:rsidR="00170C4F">
              <w:t xml:space="preserve">court </w:t>
            </w:r>
            <w:r w:rsidRPr="007405B6">
              <w:t>proceedings</w:t>
            </w:r>
          </w:p>
          <w:p w14:paraId="047DC22F" w14:textId="16C59640" w:rsidR="007405B6" w:rsidRPr="007405B6" w:rsidRDefault="007405B6" w:rsidP="007405B6">
            <w:r w:rsidRPr="007405B6">
              <w:t>4.2</w:t>
            </w:r>
            <w:r>
              <w:t xml:space="preserve"> </w:t>
            </w:r>
            <w:r w:rsidRPr="007405B6">
              <w:t>Provide documentation to support the prosecution's case</w:t>
            </w:r>
          </w:p>
          <w:p w14:paraId="678F27D7" w14:textId="7733080C" w:rsidR="007405B6" w:rsidRPr="007405B6" w:rsidRDefault="007405B6" w:rsidP="007405B6">
            <w:r w:rsidRPr="007405B6">
              <w:t>4.3</w:t>
            </w:r>
            <w:r>
              <w:t xml:space="preserve"> </w:t>
            </w:r>
            <w:r w:rsidRPr="007405B6">
              <w:t>Maintain informal and formal communication channels with the prosecuting authority</w:t>
            </w:r>
          </w:p>
          <w:p w14:paraId="2CE272B9" w14:textId="176F4353" w:rsidR="007405B6" w:rsidRDefault="007405B6" w:rsidP="007405B6">
            <w:r w:rsidRPr="007405B6">
              <w:t>4.4</w:t>
            </w:r>
            <w:r>
              <w:t xml:space="preserve"> </w:t>
            </w:r>
            <w:r w:rsidRPr="007405B6">
              <w:t>Observe and adhere to judicial guidelines, protocols and legal requirements at all times</w:t>
            </w:r>
          </w:p>
        </w:tc>
      </w:tr>
      <w:tr w:rsidR="007405B6" w:rsidRPr="00963A46" w14:paraId="714386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6C365F" w14:textId="56FAD74B" w:rsidR="007405B6" w:rsidRPr="00CF49A8" w:rsidRDefault="007405B6" w:rsidP="007405B6">
            <w:r w:rsidRPr="007405B6">
              <w:lastRenderedPageBreak/>
              <w:t>5</w:t>
            </w:r>
            <w:r>
              <w:t xml:space="preserve">. </w:t>
            </w:r>
            <w:r w:rsidRPr="007405B6">
              <w:t>Present evidence</w:t>
            </w:r>
          </w:p>
        </w:tc>
        <w:tc>
          <w:tcPr>
            <w:tcW w:w="3604" w:type="pct"/>
            <w:shd w:val="clear" w:color="auto" w:fill="auto"/>
          </w:tcPr>
          <w:p w14:paraId="72C9672F" w14:textId="78BAEEE0" w:rsidR="007405B6" w:rsidRPr="007405B6" w:rsidRDefault="007405B6" w:rsidP="007405B6">
            <w:r w:rsidRPr="007405B6">
              <w:t>5.1</w:t>
            </w:r>
            <w:r>
              <w:t xml:space="preserve"> </w:t>
            </w:r>
            <w:r w:rsidRPr="007405B6">
              <w:t xml:space="preserve">Adhere to proceedings and protocols relevant to the jurisdiction throughout the </w:t>
            </w:r>
            <w:r w:rsidR="00170C4F">
              <w:t xml:space="preserve">court </w:t>
            </w:r>
            <w:r w:rsidRPr="007405B6">
              <w:t>proceedings</w:t>
            </w:r>
          </w:p>
          <w:p w14:paraId="33885BFA" w14:textId="617F36D8" w:rsidR="007405B6" w:rsidRPr="007405B6" w:rsidRDefault="007405B6" w:rsidP="007405B6">
            <w:r w:rsidRPr="007405B6">
              <w:t>5.2</w:t>
            </w:r>
            <w:r>
              <w:t xml:space="preserve"> </w:t>
            </w:r>
            <w:r w:rsidRPr="007405B6">
              <w:t>Adhere to rules of evidence relevant to the jurisdiction</w:t>
            </w:r>
          </w:p>
          <w:p w14:paraId="113D60DD" w14:textId="1B6231B9" w:rsidR="007405B6" w:rsidRPr="007405B6" w:rsidRDefault="007405B6" w:rsidP="007405B6">
            <w:r w:rsidRPr="007405B6">
              <w:t>5.3</w:t>
            </w:r>
            <w:r>
              <w:t xml:space="preserve"> </w:t>
            </w:r>
            <w:r w:rsidRPr="007405B6">
              <w:t>Ensure demeanour is appropriate and evidence is presented to professional standards</w:t>
            </w:r>
          </w:p>
          <w:p w14:paraId="356EA883" w14:textId="08E9F6A7" w:rsidR="007405B6" w:rsidRPr="00CF49A8" w:rsidRDefault="007405B6" w:rsidP="007405B6">
            <w:r w:rsidRPr="007405B6">
              <w:t>5.4</w:t>
            </w:r>
            <w:r>
              <w:t xml:space="preserve"> </w:t>
            </w:r>
            <w:r w:rsidRPr="007405B6">
              <w:t>Ensure considered expert evidence is consistent with qualifications and expertise and is provided on request</w:t>
            </w:r>
          </w:p>
        </w:tc>
      </w:tr>
      <w:tr w:rsidR="007405B6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A96B094" w:rsidR="007405B6" w:rsidRPr="007405B6" w:rsidRDefault="007405B6" w:rsidP="007405B6">
            <w:r w:rsidRPr="007405B6">
              <w:t>6</w:t>
            </w:r>
            <w:r>
              <w:t xml:space="preserve">. </w:t>
            </w:r>
            <w:r w:rsidRPr="007405B6">
              <w:t>Undertake post-court procedures and follow up outcomes of proceedings</w:t>
            </w:r>
          </w:p>
        </w:tc>
        <w:tc>
          <w:tcPr>
            <w:tcW w:w="3604" w:type="pct"/>
            <w:shd w:val="clear" w:color="auto" w:fill="auto"/>
          </w:tcPr>
          <w:p w14:paraId="182C2539" w14:textId="7E22DAE8" w:rsidR="007405B6" w:rsidRPr="007405B6" w:rsidRDefault="007405B6" w:rsidP="007405B6">
            <w:r w:rsidRPr="007405B6">
              <w:t>6.1</w:t>
            </w:r>
            <w:r>
              <w:t xml:space="preserve"> </w:t>
            </w:r>
            <w:commentRangeStart w:id="1"/>
            <w:r w:rsidRPr="007405B6">
              <w:t>Act upon briefs of evidence and other documents</w:t>
            </w:r>
            <w:commentRangeEnd w:id="1"/>
            <w:r w:rsidR="000235CE">
              <w:commentReference w:id="1"/>
            </w:r>
          </w:p>
          <w:p w14:paraId="709CBC71" w14:textId="046542DA" w:rsidR="007405B6" w:rsidRPr="007405B6" w:rsidRDefault="007405B6" w:rsidP="007405B6">
            <w:r w:rsidRPr="007405B6">
              <w:t>6.2</w:t>
            </w:r>
            <w:r>
              <w:t xml:space="preserve"> </w:t>
            </w:r>
            <w:r w:rsidRPr="007405B6">
              <w:t>Return or dispose of property and exhibits</w:t>
            </w:r>
          </w:p>
          <w:p w14:paraId="47F638DB" w14:textId="7E34BBB0" w:rsidR="007405B6" w:rsidRPr="007405B6" w:rsidRDefault="007405B6" w:rsidP="007405B6">
            <w:r w:rsidRPr="007405B6">
              <w:t>6.3</w:t>
            </w:r>
            <w:r>
              <w:t xml:space="preserve"> </w:t>
            </w:r>
            <w:r w:rsidRPr="007405B6">
              <w:t>Notify relevant parties of court results in a timely manner</w:t>
            </w:r>
          </w:p>
          <w:p w14:paraId="4BF00280" w14:textId="4FF91A95" w:rsidR="007405B6" w:rsidRPr="007405B6" w:rsidRDefault="007405B6" w:rsidP="007405B6">
            <w:r w:rsidRPr="007405B6">
              <w:t>6.4</w:t>
            </w:r>
            <w:r>
              <w:t xml:space="preserve"> </w:t>
            </w:r>
            <w:r w:rsidRPr="007405B6">
              <w:t>Discuss, constructively and objectively, avenues of possible further action with a prosecuting authority as necessary</w:t>
            </w:r>
          </w:p>
          <w:p w14:paraId="519CB347" w14:textId="08612747" w:rsidR="007405B6" w:rsidRPr="007405B6" w:rsidRDefault="007405B6" w:rsidP="007405B6">
            <w:r w:rsidRPr="007405B6">
              <w:t>6.5</w:t>
            </w:r>
            <w:r>
              <w:t xml:space="preserve"> </w:t>
            </w:r>
            <w:r w:rsidRPr="007405B6">
              <w:t>Note and file the outcomes of the proceedings and complete reports</w:t>
            </w:r>
          </w:p>
          <w:p w14:paraId="02A7B6D4" w14:textId="2008F1F2" w:rsidR="007405B6" w:rsidRPr="007405B6" w:rsidRDefault="007405B6" w:rsidP="007405B6">
            <w:pPr>
              <w:pStyle w:val="SIText"/>
            </w:pPr>
            <w:r w:rsidRPr="007405B6">
              <w:t>6.6</w:t>
            </w:r>
            <w:r>
              <w:t xml:space="preserve"> </w:t>
            </w:r>
            <w:r w:rsidRPr="007405B6">
              <w:t>Implement any required actions</w:t>
            </w:r>
            <w:r w:rsidR="0081553A">
              <w:t xml:space="preserve"> from outcomes of the proceedings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7405B6">
              <w:t>o</w:t>
            </w:r>
            <w:r w:rsidRPr="000754EC">
              <w:t>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405B6" w:rsidRPr="00336FCA" w:rsidDel="00423CB2" w14:paraId="7A6C86DB" w14:textId="77777777" w:rsidTr="00CA2922">
        <w:tc>
          <w:tcPr>
            <w:tcW w:w="1396" w:type="pct"/>
          </w:tcPr>
          <w:p w14:paraId="63013FFB" w14:textId="348B8FBA" w:rsidR="007405B6" w:rsidRPr="007405B6" w:rsidRDefault="007405B6" w:rsidP="007405B6">
            <w:pPr>
              <w:pStyle w:val="SIText"/>
            </w:pPr>
            <w:r w:rsidRPr="007405B6">
              <w:t>Numeracy</w:t>
            </w:r>
          </w:p>
        </w:tc>
        <w:tc>
          <w:tcPr>
            <w:tcW w:w="3604" w:type="pct"/>
          </w:tcPr>
          <w:p w14:paraId="6915A357" w14:textId="77777777" w:rsidR="007405B6" w:rsidRPr="007405B6" w:rsidRDefault="007405B6" w:rsidP="007405B6">
            <w:pPr>
              <w:pStyle w:val="SIBulletList1"/>
            </w:pPr>
            <w:r w:rsidRPr="007405B6">
              <w:rPr>
                <w:rFonts w:eastAsia="Calibri"/>
              </w:rPr>
              <w:t xml:space="preserve">Determine quantities of seized property </w:t>
            </w:r>
          </w:p>
          <w:p w14:paraId="1D26F408" w14:textId="7E283976" w:rsidR="007405B6" w:rsidRPr="007405B6" w:rsidRDefault="007405B6" w:rsidP="007405B6">
            <w:pPr>
              <w:pStyle w:val="SIBulletList1"/>
            </w:pPr>
            <w:r w:rsidRPr="007405B6">
              <w:rPr>
                <w:rFonts w:eastAsia="Calibri"/>
              </w:rPr>
              <w:t>Measure and compare quantities and weights</w:t>
            </w:r>
          </w:p>
        </w:tc>
      </w:tr>
      <w:tr w:rsidR="007405B6" w:rsidRPr="00336FCA" w:rsidDel="00423CB2" w14:paraId="229D9642" w14:textId="77777777" w:rsidTr="00CA2922">
        <w:tc>
          <w:tcPr>
            <w:tcW w:w="1396" w:type="pct"/>
          </w:tcPr>
          <w:p w14:paraId="307E895A" w14:textId="6831638B" w:rsidR="007405B6" w:rsidRPr="007405B6" w:rsidRDefault="007405B6" w:rsidP="007405B6">
            <w:pPr>
              <w:pStyle w:val="SIText"/>
            </w:pPr>
            <w:r w:rsidRPr="007405B6">
              <w:t xml:space="preserve">Reading </w:t>
            </w:r>
          </w:p>
        </w:tc>
        <w:tc>
          <w:tcPr>
            <w:tcW w:w="3604" w:type="pct"/>
          </w:tcPr>
          <w:p w14:paraId="122EA5DC" w14:textId="0F981C40" w:rsidR="007405B6" w:rsidRPr="0082094A" w:rsidRDefault="007405B6" w:rsidP="00AD6CF4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Interpret and identify relevant information and requirements of jurisdictional laws, by-laws and regulations, briefing information and relevant court documents</w:t>
            </w:r>
          </w:p>
        </w:tc>
      </w:tr>
      <w:tr w:rsidR="007405B6" w:rsidRPr="00336FCA" w:rsidDel="00423CB2" w14:paraId="05F8553F" w14:textId="77777777" w:rsidTr="00CA2922">
        <w:tc>
          <w:tcPr>
            <w:tcW w:w="1396" w:type="pct"/>
          </w:tcPr>
          <w:p w14:paraId="0A3AC22F" w14:textId="31120E89" w:rsidR="007405B6" w:rsidRPr="007405B6" w:rsidRDefault="007405B6" w:rsidP="007405B6">
            <w:r w:rsidRPr="007405B6">
              <w:t xml:space="preserve">Writing </w:t>
            </w:r>
          </w:p>
        </w:tc>
        <w:tc>
          <w:tcPr>
            <w:tcW w:w="3604" w:type="pct"/>
          </w:tcPr>
          <w:p w14:paraId="1CC45BD0" w14:textId="57D63753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 xml:space="preserve">Prepare </w:t>
            </w:r>
            <w:r w:rsidR="0082094A">
              <w:rPr>
                <w:rFonts w:eastAsia="Calibri"/>
              </w:rPr>
              <w:t xml:space="preserve">detailed and comprehensive </w:t>
            </w:r>
            <w:r w:rsidRPr="007405B6">
              <w:rPr>
                <w:rFonts w:eastAsia="Calibri"/>
              </w:rPr>
              <w:t>briefing evidence and documents</w:t>
            </w:r>
          </w:p>
          <w:p w14:paraId="0B38328F" w14:textId="50153FD2" w:rsidR="007405B6" w:rsidRPr="0082094A" w:rsidRDefault="007405B6" w:rsidP="0082094A">
            <w:pPr>
              <w:pStyle w:val="SIBulletList1"/>
              <w:rPr>
                <w:rFonts w:eastAsia="Calibri"/>
              </w:rPr>
            </w:pPr>
            <w:r w:rsidRPr="0082094A">
              <w:rPr>
                <w:rFonts w:eastAsia="Calibri"/>
              </w:rPr>
              <w:t>Record compliance monitoring activities</w:t>
            </w:r>
          </w:p>
        </w:tc>
      </w:tr>
      <w:tr w:rsidR="007405B6" w:rsidRPr="00336FCA" w:rsidDel="00423CB2" w14:paraId="0F023268" w14:textId="77777777" w:rsidTr="00CA2922">
        <w:tc>
          <w:tcPr>
            <w:tcW w:w="1396" w:type="pct"/>
          </w:tcPr>
          <w:p w14:paraId="143678B8" w14:textId="71BD2CEB" w:rsidR="007405B6" w:rsidRPr="007405B6" w:rsidRDefault="007405B6" w:rsidP="007405B6">
            <w:r w:rsidRPr="007405B6">
              <w:t>Navigate the world of work</w:t>
            </w:r>
          </w:p>
        </w:tc>
        <w:tc>
          <w:tcPr>
            <w:tcW w:w="3604" w:type="pct"/>
          </w:tcPr>
          <w:p w14:paraId="08C1D482" w14:textId="2F334764" w:rsidR="007405B6" w:rsidRPr="007405B6" w:rsidRDefault="007405B6" w:rsidP="00AD6CF4">
            <w:pPr>
              <w:pStyle w:val="SIBulletList1"/>
              <w:rPr>
                <w:rFonts w:eastAsia="Calibri"/>
              </w:rPr>
            </w:pPr>
            <w:r w:rsidRPr="007405B6">
              <w:t>Interpret and follow regulatory requirements and seek clarification or other assistance when required</w:t>
            </w:r>
          </w:p>
        </w:tc>
      </w:tr>
      <w:tr w:rsidR="007405B6" w:rsidRPr="00336FCA" w:rsidDel="00423CB2" w14:paraId="4BE849ED" w14:textId="77777777" w:rsidTr="00CA2922">
        <w:tc>
          <w:tcPr>
            <w:tcW w:w="1396" w:type="pct"/>
          </w:tcPr>
          <w:p w14:paraId="2809BECC" w14:textId="1F71729C" w:rsidR="007405B6" w:rsidRPr="007405B6" w:rsidRDefault="007405B6" w:rsidP="007405B6">
            <w:r w:rsidRPr="007405B6">
              <w:t>Interact with others</w:t>
            </w:r>
          </w:p>
        </w:tc>
        <w:tc>
          <w:tcPr>
            <w:tcW w:w="3604" w:type="pct"/>
          </w:tcPr>
          <w:p w14:paraId="521D2112" w14:textId="76B83693" w:rsidR="007405B6" w:rsidRPr="004854B2" w:rsidRDefault="007405B6" w:rsidP="00E16806">
            <w:pPr>
              <w:pStyle w:val="SIBulletList1"/>
              <w:rPr>
                <w:rFonts w:eastAsia="Calibri"/>
              </w:rPr>
            </w:pPr>
            <w:r w:rsidRPr="007405B6">
              <w:t>Use appropriate vocabulary, conventions and protocols, including technical language relevant to role and judicial process</w:t>
            </w:r>
            <w:r w:rsidR="00862296">
              <w:t xml:space="preserve">, cultural awareness, maintain </w:t>
            </w:r>
            <w:r w:rsidR="00862296">
              <w:rPr>
                <w:rFonts w:eastAsia="Calibri"/>
              </w:rPr>
              <w:t>ethical behaviour</w:t>
            </w:r>
            <w:r w:rsidR="00862296" w:rsidRPr="00862296">
              <w:rPr>
                <w:rFonts w:eastAsia="Calibri"/>
              </w:rPr>
              <w:t xml:space="preserve"> and integrity</w:t>
            </w:r>
          </w:p>
          <w:p w14:paraId="18E95ED8" w14:textId="500373E5" w:rsidR="007405B6" w:rsidRPr="004854B2" w:rsidRDefault="007405B6" w:rsidP="004854B2">
            <w:pPr>
              <w:pStyle w:val="SIBulletList1"/>
            </w:pPr>
            <w:r w:rsidRPr="007405B6">
              <w:t>Use active listening, observational and questioning techniques to confirm and clarify understanding or seek further information</w:t>
            </w:r>
            <w:r w:rsidR="00862296">
              <w:t xml:space="preserve">, </w:t>
            </w:r>
            <w:r w:rsidR="00862296" w:rsidRPr="00862296">
              <w:rPr>
                <w:rFonts w:eastAsia="Calibri"/>
              </w:rPr>
              <w:t>establish rapport, negotiat</w:t>
            </w:r>
            <w:r w:rsidR="00862296">
              <w:rPr>
                <w:rFonts w:eastAsia="Calibri"/>
              </w:rPr>
              <w:t>e and resolve</w:t>
            </w:r>
            <w:r w:rsidR="00862296" w:rsidRPr="00862296">
              <w:rPr>
                <w:rFonts w:eastAsia="Calibri"/>
              </w:rPr>
              <w:t xml:space="preserve"> conflict</w:t>
            </w:r>
          </w:p>
        </w:tc>
      </w:tr>
      <w:tr w:rsidR="007405B6" w:rsidRPr="00336FCA" w:rsidDel="00423CB2" w14:paraId="1F9DEA63" w14:textId="77777777" w:rsidTr="00CA2922">
        <w:tc>
          <w:tcPr>
            <w:tcW w:w="1396" w:type="pct"/>
          </w:tcPr>
          <w:p w14:paraId="1E309450" w14:textId="0B3944B6" w:rsidR="007405B6" w:rsidRPr="007405B6" w:rsidRDefault="007405B6" w:rsidP="007405B6">
            <w:r w:rsidRPr="007405B6">
              <w:t>Get the work done</w:t>
            </w:r>
          </w:p>
        </w:tc>
        <w:tc>
          <w:tcPr>
            <w:tcW w:w="3604" w:type="pct"/>
          </w:tcPr>
          <w:p w14:paraId="579C832E" w14:textId="77777777" w:rsidR="007405B6" w:rsidRPr="007405B6" w:rsidRDefault="007405B6" w:rsidP="007405B6">
            <w:pPr>
              <w:pStyle w:val="SIBulletList1"/>
            </w:pPr>
            <w:r w:rsidRPr="007405B6">
              <w:rPr>
                <w:rFonts w:eastAsia="Calibri"/>
              </w:rPr>
              <w:t>Operate and access computer technology to prepare and store documentation</w:t>
            </w:r>
          </w:p>
          <w:p w14:paraId="48B695CE" w14:textId="2A616822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Maintain privacy and security of information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405B6" w14:paraId="67633B90" w14:textId="77777777" w:rsidTr="00F33FF2">
        <w:tc>
          <w:tcPr>
            <w:tcW w:w="1028" w:type="pct"/>
          </w:tcPr>
          <w:p w14:paraId="666F2C5F" w14:textId="4E5DE1E9" w:rsidR="007405B6" w:rsidRPr="007405B6" w:rsidRDefault="00AD4E33" w:rsidP="007405B6">
            <w:pPr>
              <w:pStyle w:val="SIText"/>
            </w:pPr>
            <w:r w:rsidRPr="007405B6">
              <w:t>SFIC</w:t>
            </w:r>
            <w:r>
              <w:t>PL</w:t>
            </w:r>
            <w:r w:rsidRPr="007405B6">
              <w:t xml:space="preserve">315 </w:t>
            </w:r>
            <w:r w:rsidR="007405B6" w:rsidRPr="007405B6">
              <w:t>Support the judicial process</w:t>
            </w:r>
          </w:p>
        </w:tc>
        <w:tc>
          <w:tcPr>
            <w:tcW w:w="1105" w:type="pct"/>
          </w:tcPr>
          <w:p w14:paraId="520629F4" w14:textId="0960B3AE" w:rsidR="007405B6" w:rsidRPr="007405B6" w:rsidRDefault="007405B6" w:rsidP="007405B6">
            <w:pPr>
              <w:pStyle w:val="SIText"/>
            </w:pPr>
            <w:r w:rsidRPr="007405B6">
              <w:t>SFICOMP315A Support the judicial process</w:t>
            </w:r>
          </w:p>
        </w:tc>
        <w:tc>
          <w:tcPr>
            <w:tcW w:w="1251" w:type="pct"/>
          </w:tcPr>
          <w:p w14:paraId="51844FA1" w14:textId="5DD9C3DF" w:rsidR="007405B6" w:rsidRPr="007405B6" w:rsidRDefault="007405B6" w:rsidP="007405B6">
            <w:pPr>
              <w:pStyle w:val="SIText"/>
            </w:pPr>
            <w:r w:rsidRPr="007405B6">
              <w:t>Updated to meet Standards for Training Packages</w:t>
            </w:r>
          </w:p>
        </w:tc>
        <w:tc>
          <w:tcPr>
            <w:tcW w:w="1616" w:type="pct"/>
          </w:tcPr>
          <w:p w14:paraId="509E63B0" w14:textId="063C1B8E" w:rsidR="007405B6" w:rsidRPr="007405B6" w:rsidRDefault="007405B6" w:rsidP="007405B6">
            <w:pPr>
              <w:pStyle w:val="SIText"/>
            </w:pPr>
            <w:r w:rsidRPr="007405B6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2B09844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AD4E33" w:rsidRPr="007405B6">
              <w:t>SFIC</w:t>
            </w:r>
            <w:r w:rsidR="00AD4E33">
              <w:t>PL</w:t>
            </w:r>
            <w:r w:rsidR="00AD4E33" w:rsidRPr="007405B6">
              <w:t xml:space="preserve">315 </w:t>
            </w:r>
            <w:r w:rsidR="007405B6" w:rsidRPr="007405B6">
              <w:t>Support the judicial process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405B6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567F0D0" w14:textId="669A52F8" w:rsidR="007405B6" w:rsidRPr="007405B6" w:rsidRDefault="007405B6" w:rsidP="007405B6">
            <w:pPr>
              <w:pStyle w:val="SIText"/>
            </w:pPr>
            <w:r w:rsidRPr="007405B6">
              <w:t>An individual demonstrating competency must satisfy all the elements</w:t>
            </w:r>
            <w:r w:rsidR="000A2103">
              <w:t xml:space="preserve"> and </w:t>
            </w:r>
            <w:r w:rsidRPr="007405B6">
              <w:t xml:space="preserve">performance criteria of this unit. </w:t>
            </w:r>
            <w:r w:rsidR="00121D14">
              <w:t>There must be evidence that the individual has supported</w:t>
            </w:r>
            <w:r w:rsidR="00D66DDB">
              <w:t xml:space="preserve"> the judicial process </w:t>
            </w:r>
            <w:r w:rsidR="00347728">
              <w:t>for</w:t>
            </w:r>
            <w:r w:rsidR="00D66DDB">
              <w:t xml:space="preserve"> at least one </w:t>
            </w:r>
            <w:r w:rsidR="000235CE">
              <w:t xml:space="preserve">court </w:t>
            </w:r>
            <w:r w:rsidR="00347728">
              <w:t xml:space="preserve">proceeding </w:t>
            </w:r>
            <w:r w:rsidR="00121D14">
              <w:t>including</w:t>
            </w:r>
            <w:r w:rsidR="00D66DDB">
              <w:t>:</w:t>
            </w:r>
            <w:r w:rsidR="0082094A">
              <w:t xml:space="preserve"> </w:t>
            </w:r>
          </w:p>
          <w:p w14:paraId="09D6445C" w14:textId="472342F4" w:rsidR="00E16806" w:rsidRDefault="00D6396D" w:rsidP="007405B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developing</w:t>
            </w:r>
            <w:r w:rsidRPr="00E16806">
              <w:rPr>
                <w:rFonts w:eastAsia="Calibri"/>
              </w:rPr>
              <w:t xml:space="preserve"> </w:t>
            </w:r>
            <w:r w:rsidR="00E16806" w:rsidRPr="00E16806">
              <w:rPr>
                <w:rFonts w:eastAsia="Calibri"/>
              </w:rPr>
              <w:t xml:space="preserve">briefs of evidence and register of exhibits </w:t>
            </w:r>
          </w:p>
          <w:p w14:paraId="4F8E1389" w14:textId="2ECC593E" w:rsidR="007405B6" w:rsidRPr="007405B6" w:rsidRDefault="00A603E7" w:rsidP="007405B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liaising</w:t>
            </w:r>
            <w:r w:rsidR="00D6396D" w:rsidRPr="007405B6">
              <w:rPr>
                <w:rFonts w:eastAsia="Calibri"/>
              </w:rPr>
              <w:t xml:space="preserve"> </w:t>
            </w:r>
            <w:r w:rsidR="007405B6" w:rsidRPr="007405B6">
              <w:rPr>
                <w:rFonts w:eastAsia="Calibri"/>
              </w:rPr>
              <w:t>with witnesses, prosecution authority and court personnel</w:t>
            </w:r>
          </w:p>
          <w:p w14:paraId="7DE85DF3" w14:textId="77777777" w:rsidR="00F733E0" w:rsidRDefault="00F733E0" w:rsidP="007405B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ensuring the safety and security of witnesses</w:t>
            </w:r>
          </w:p>
          <w:p w14:paraId="2936050D" w14:textId="6965B547" w:rsidR="00862296" w:rsidRDefault="00862296" w:rsidP="007405B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issuing summons to witnesses</w:t>
            </w:r>
          </w:p>
          <w:p w14:paraId="11AEE7A8" w14:textId="3C0134D9" w:rsidR="007405B6" w:rsidRPr="007405B6" w:rsidRDefault="0086229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presenting</w:t>
            </w:r>
            <w:r w:rsidR="007405B6" w:rsidRPr="007405B6">
              <w:rPr>
                <w:rFonts w:eastAsia="Calibri"/>
              </w:rPr>
              <w:t xml:space="preserve"> evidence </w:t>
            </w:r>
            <w:r w:rsidR="00A603E7">
              <w:rPr>
                <w:rFonts w:eastAsia="Calibri"/>
              </w:rPr>
              <w:t xml:space="preserve">in a </w:t>
            </w:r>
            <w:r w:rsidR="007405B6" w:rsidRPr="007405B6">
              <w:rPr>
                <w:rFonts w:eastAsia="Calibri"/>
              </w:rPr>
              <w:t>clear and concise</w:t>
            </w:r>
            <w:r w:rsidR="00A603E7">
              <w:rPr>
                <w:rFonts w:eastAsia="Calibri"/>
              </w:rPr>
              <w:t xml:space="preserve"> manner</w:t>
            </w:r>
          </w:p>
          <w:p w14:paraId="48A43C30" w14:textId="535484CD" w:rsidR="007405B6" w:rsidRPr="007405B6" w:rsidRDefault="00862296" w:rsidP="00EF4CD8">
            <w:pPr>
              <w:pStyle w:val="SIBulletList1"/>
            </w:pPr>
            <w:proofErr w:type="gramStart"/>
            <w:r>
              <w:rPr>
                <w:rFonts w:eastAsia="Calibri"/>
              </w:rPr>
              <w:t>following</w:t>
            </w:r>
            <w:proofErr w:type="gramEnd"/>
            <w:r>
              <w:rPr>
                <w:rFonts w:eastAsia="Calibri"/>
              </w:rPr>
              <w:t xml:space="preserve"> up on post-proceeding matters</w:t>
            </w:r>
            <w:r w:rsidR="007405B6" w:rsidRPr="000235CE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405B6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EB083B" w14:textId="77777777" w:rsidR="007405B6" w:rsidRPr="007405B6" w:rsidRDefault="007405B6" w:rsidP="007405B6">
            <w:pPr>
              <w:pStyle w:val="SIText"/>
            </w:pPr>
            <w:r w:rsidRPr="007405B6">
              <w:t>An individual must be able to demonstrate the knowledge required to perform the tasks outlined in the elements and performance criteria of this unit. This includes knowledge of:</w:t>
            </w:r>
          </w:p>
          <w:p w14:paraId="0FA7C376" w14:textId="77777777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agency policies and procedures relating to preparation of documents and evidence, and providing expert opinion</w:t>
            </w:r>
          </w:p>
          <w:p w14:paraId="32023B71" w14:textId="77777777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different judicial and quasi-judicial systems at which fisheries compliance matters are heard or prosecuted, and their procedures and protocols</w:t>
            </w:r>
          </w:p>
          <w:p w14:paraId="1AAF3306" w14:textId="77777777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general principles of criminal liability</w:t>
            </w:r>
          </w:p>
          <w:p w14:paraId="4E451FE8" w14:textId="77777777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relevant law, including the rules of evidence and continuity of evidence, policy and procedures</w:t>
            </w:r>
          </w:p>
          <w:p w14:paraId="4CE5DFFF" w14:textId="77777777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role of legal personnel in judicial and quasi-judicial systems</w:t>
            </w:r>
          </w:p>
          <w:p w14:paraId="29CF15E0" w14:textId="77777777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types of evidence admissible in judicial and quasi-judicial systems</w:t>
            </w:r>
          </w:p>
          <w:p w14:paraId="0886FCDC" w14:textId="77777777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use of notes in courts, tribunals or commissions</w:t>
            </w:r>
          </w:p>
          <w:p w14:paraId="3D9F262A" w14:textId="0718C0F7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procedures for monitoring offenders</w:t>
            </w:r>
            <w:r w:rsidR="00331146">
              <w:rPr>
                <w:rFonts w:eastAsia="Calibri"/>
              </w:rPr>
              <w:t xml:space="preserve"> </w:t>
            </w:r>
            <w:r w:rsidR="007F0D75">
              <w:rPr>
                <w:rFonts w:eastAsia="Calibri"/>
              </w:rPr>
              <w:t>according to</w:t>
            </w:r>
            <w:r w:rsidR="00331146">
              <w:rPr>
                <w:rFonts w:eastAsia="Calibri"/>
              </w:rPr>
              <w:t xml:space="preserve"> court </w:t>
            </w:r>
            <w:r w:rsidR="007F0D75">
              <w:rPr>
                <w:rFonts w:eastAsia="Calibri"/>
              </w:rPr>
              <w:t>requirements</w:t>
            </w:r>
          </w:p>
          <w:p w14:paraId="1D87F379" w14:textId="158095B4" w:rsidR="007405B6" w:rsidRPr="007405B6" w:rsidRDefault="007405B6" w:rsidP="007405B6">
            <w:pPr>
              <w:pStyle w:val="SIBulletList1"/>
              <w:rPr>
                <w:rFonts w:eastAsia="Calibri"/>
              </w:rPr>
            </w:pPr>
            <w:r w:rsidRPr="007405B6">
              <w:rPr>
                <w:rFonts w:eastAsia="Calibri"/>
              </w:rPr>
              <w:t>witness summons and preparation process and procedures</w:t>
            </w:r>
            <w:r w:rsidR="007F0D75">
              <w:rPr>
                <w:rFonts w:eastAsia="Calibri"/>
              </w:rPr>
              <w:t xml:space="preserve"> according to jurisdictional law</w:t>
            </w:r>
          </w:p>
          <w:p w14:paraId="7D18C0FD" w14:textId="4C6AB3AC" w:rsidR="007405B6" w:rsidRPr="007405B6" w:rsidRDefault="007405B6" w:rsidP="007405B6">
            <w:pPr>
              <w:pStyle w:val="SIBulletList1"/>
            </w:pPr>
            <w:r w:rsidRPr="007405B6">
              <w:rPr>
                <w:rFonts w:eastAsia="Calibri"/>
              </w:rPr>
              <w:t>post court procedures</w:t>
            </w:r>
            <w:r w:rsidR="00331146">
              <w:rPr>
                <w:rFonts w:eastAsia="Calibri"/>
              </w:rPr>
              <w:t>, including reporting outcomes of the proceedings</w:t>
            </w:r>
            <w:r w:rsidRPr="007405B6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405B6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82EE00" w14:textId="77777777" w:rsidR="007405B6" w:rsidRPr="007405B6" w:rsidRDefault="007405B6" w:rsidP="007405B6">
            <w:pPr>
              <w:pStyle w:val="SIText"/>
            </w:pPr>
            <w:r w:rsidRPr="007405B6">
              <w:t xml:space="preserve">Assessment of this unit of competency must take place under the following conditions: </w:t>
            </w:r>
          </w:p>
          <w:p w14:paraId="46F165CB" w14:textId="77777777" w:rsidR="007405B6" w:rsidRPr="007405B6" w:rsidRDefault="007405B6" w:rsidP="007405B6">
            <w:pPr>
              <w:pStyle w:val="SIBulletList1"/>
            </w:pPr>
            <w:r w:rsidRPr="007405B6">
              <w:t>physical conditions:</w:t>
            </w:r>
          </w:p>
          <w:p w14:paraId="35DAF6E3" w14:textId="6D637115" w:rsidR="007405B6" w:rsidRPr="007405B6" w:rsidRDefault="00121D14" w:rsidP="007405B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</w:t>
            </w:r>
            <w:r w:rsidR="00A549B2">
              <w:rPr>
                <w:rFonts w:eastAsia="Calibri"/>
              </w:rPr>
              <w:t>demonstrated</w:t>
            </w:r>
            <w:r>
              <w:rPr>
                <w:rFonts w:eastAsia="Calibri"/>
              </w:rPr>
              <w:t xml:space="preserve"> in a </w:t>
            </w:r>
            <w:r w:rsidR="00DC25EF">
              <w:rPr>
                <w:rFonts w:eastAsia="Calibri"/>
              </w:rPr>
              <w:t xml:space="preserve">court room and </w:t>
            </w:r>
            <w:r>
              <w:rPr>
                <w:rFonts w:eastAsia="Calibri"/>
              </w:rPr>
              <w:t>legal setting or an environment that accurately represents workplace conditions</w:t>
            </w:r>
          </w:p>
          <w:p w14:paraId="2C3E29A6" w14:textId="77777777" w:rsidR="007405B6" w:rsidRPr="007405B6" w:rsidRDefault="007405B6" w:rsidP="007405B6">
            <w:pPr>
              <w:pStyle w:val="SIBulletList1"/>
            </w:pPr>
            <w:r w:rsidRPr="007405B6">
              <w:t>resources, equipment and materials:</w:t>
            </w:r>
          </w:p>
          <w:p w14:paraId="67D08E35" w14:textId="1AF6262C" w:rsidR="007405B6" w:rsidRPr="007405B6" w:rsidRDefault="007405B6" w:rsidP="007405B6">
            <w:pPr>
              <w:pStyle w:val="SIBulletList2"/>
              <w:rPr>
                <w:rFonts w:eastAsia="Calibri"/>
              </w:rPr>
            </w:pPr>
            <w:r w:rsidRPr="007405B6">
              <w:rPr>
                <w:rFonts w:eastAsia="Calibri"/>
              </w:rPr>
              <w:t xml:space="preserve">case materials, witnesses, </w:t>
            </w:r>
            <w:r w:rsidR="00331146">
              <w:rPr>
                <w:rFonts w:eastAsia="Calibri"/>
              </w:rPr>
              <w:t>j</w:t>
            </w:r>
            <w:r w:rsidRPr="007405B6">
              <w:rPr>
                <w:rFonts w:eastAsia="Calibri"/>
              </w:rPr>
              <w:t>udicial forms</w:t>
            </w:r>
          </w:p>
          <w:p w14:paraId="2BCB52C5" w14:textId="1EFCEB35" w:rsidR="00331146" w:rsidRDefault="00331146" w:rsidP="007405B6">
            <w:pPr>
              <w:pStyle w:val="SIBulletList1"/>
            </w:pPr>
            <w:r>
              <w:t>specifications:</w:t>
            </w:r>
          </w:p>
          <w:p w14:paraId="67D81A81" w14:textId="4D7394C8" w:rsidR="00331146" w:rsidRDefault="00331146" w:rsidP="004854B2">
            <w:pPr>
              <w:pStyle w:val="SIBulletList2"/>
            </w:pPr>
            <w:r>
              <w:t>access to judicial guidelines, court protocols and procedures, including witness protection</w:t>
            </w:r>
          </w:p>
          <w:p w14:paraId="46EC7D57" w14:textId="70231D0E" w:rsidR="007405B6" w:rsidRPr="007405B6" w:rsidRDefault="007405B6" w:rsidP="007405B6">
            <w:pPr>
              <w:pStyle w:val="SIBulletList1"/>
            </w:pPr>
            <w:r w:rsidRPr="007405B6">
              <w:t>relationships:</w:t>
            </w:r>
          </w:p>
          <w:p w14:paraId="799156A2" w14:textId="20804F89" w:rsidR="007405B6" w:rsidRPr="007405B6" w:rsidRDefault="00AD4E33" w:rsidP="007405B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7405B6" w:rsidRPr="007405B6">
              <w:rPr>
                <w:rFonts w:eastAsia="Calibri"/>
              </w:rPr>
              <w:t>legal personnel.</w:t>
            </w:r>
          </w:p>
          <w:p w14:paraId="57B5717F" w14:textId="77777777" w:rsidR="007405B6" w:rsidRPr="007405B6" w:rsidRDefault="007405B6" w:rsidP="007405B6"/>
          <w:p w14:paraId="71739C8B" w14:textId="66CFFDA9" w:rsidR="007405B6" w:rsidRPr="007405B6" w:rsidRDefault="007405B6" w:rsidP="007405B6">
            <w:pPr>
              <w:pStyle w:val="SIText"/>
            </w:pPr>
            <w:r w:rsidRPr="007405B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ina Robinson" w:date="2018-12-06T13:09:00Z" w:initials="LR">
    <w:p w14:paraId="5C7617B8" w14:textId="5173FAED" w:rsidR="000235CE" w:rsidRDefault="000235CE">
      <w:r>
        <w:annotationRef/>
      </w:r>
      <w:r>
        <w:t>This PC seems incomplete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7617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7617B8" w16cid:durableId="1FB39E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BB9ABD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064DD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456D836D" w:rsidR="00540BD0" w:rsidRDefault="00AD4E33">
    <w:r>
      <w:t xml:space="preserve">SFICPL315 </w:t>
    </w:r>
    <w:r w:rsidR="007405B6" w:rsidRPr="007405B6">
      <w:t>Support the judicial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a Robinson">
    <w15:presenceInfo w15:providerId="AD" w15:userId="S::lrobinson@skillsimpact.com.au::a5d4fb56-e3a4-4500-9708-354e8f85ad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5CE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2103"/>
    <w:rsid w:val="000A5441"/>
    <w:rsid w:val="000C149A"/>
    <w:rsid w:val="000C224E"/>
    <w:rsid w:val="000E25E6"/>
    <w:rsid w:val="000E2C86"/>
    <w:rsid w:val="000F29F2"/>
    <w:rsid w:val="00101659"/>
    <w:rsid w:val="00105AEA"/>
    <w:rsid w:val="001064DD"/>
    <w:rsid w:val="001078BF"/>
    <w:rsid w:val="00121D14"/>
    <w:rsid w:val="00133957"/>
    <w:rsid w:val="001372F6"/>
    <w:rsid w:val="00144385"/>
    <w:rsid w:val="00146EEC"/>
    <w:rsid w:val="00151D55"/>
    <w:rsid w:val="00151D93"/>
    <w:rsid w:val="00156EF3"/>
    <w:rsid w:val="00170C4F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3A72"/>
    <w:rsid w:val="002E170C"/>
    <w:rsid w:val="002E193E"/>
    <w:rsid w:val="00305EFF"/>
    <w:rsid w:val="00310A6A"/>
    <w:rsid w:val="003144E6"/>
    <w:rsid w:val="00331146"/>
    <w:rsid w:val="00337E82"/>
    <w:rsid w:val="00346FDC"/>
    <w:rsid w:val="00347728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5733"/>
    <w:rsid w:val="004127E3"/>
    <w:rsid w:val="00416CDD"/>
    <w:rsid w:val="0042126E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4B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FAF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5B6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0D75"/>
    <w:rsid w:val="007F1563"/>
    <w:rsid w:val="007F1EB2"/>
    <w:rsid w:val="007F44DB"/>
    <w:rsid w:val="007F5A8B"/>
    <w:rsid w:val="0081553A"/>
    <w:rsid w:val="00817D51"/>
    <w:rsid w:val="0082094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2296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49B2"/>
    <w:rsid w:val="00A554D6"/>
    <w:rsid w:val="00A56E14"/>
    <w:rsid w:val="00A603E7"/>
    <w:rsid w:val="00A62A14"/>
    <w:rsid w:val="00A6476B"/>
    <w:rsid w:val="00A76C6C"/>
    <w:rsid w:val="00A87356"/>
    <w:rsid w:val="00A92DD1"/>
    <w:rsid w:val="00AA5338"/>
    <w:rsid w:val="00AB1B8E"/>
    <w:rsid w:val="00AB202F"/>
    <w:rsid w:val="00AC0696"/>
    <w:rsid w:val="00AC4C98"/>
    <w:rsid w:val="00AC5F6B"/>
    <w:rsid w:val="00AC7D4B"/>
    <w:rsid w:val="00AD3896"/>
    <w:rsid w:val="00AD4E33"/>
    <w:rsid w:val="00AD5B47"/>
    <w:rsid w:val="00AD6CF4"/>
    <w:rsid w:val="00AE1ED9"/>
    <w:rsid w:val="00AE32CB"/>
    <w:rsid w:val="00AF3957"/>
    <w:rsid w:val="00AF3EA7"/>
    <w:rsid w:val="00B12013"/>
    <w:rsid w:val="00B22C67"/>
    <w:rsid w:val="00B3508F"/>
    <w:rsid w:val="00B443EE"/>
    <w:rsid w:val="00B560C8"/>
    <w:rsid w:val="00B61150"/>
    <w:rsid w:val="00B65BC7"/>
    <w:rsid w:val="00B66404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396D"/>
    <w:rsid w:val="00D66DD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25EF"/>
    <w:rsid w:val="00DC5A3A"/>
    <w:rsid w:val="00DD0726"/>
    <w:rsid w:val="00E16806"/>
    <w:rsid w:val="00E238E6"/>
    <w:rsid w:val="00E24046"/>
    <w:rsid w:val="00E35064"/>
    <w:rsid w:val="00E3681D"/>
    <w:rsid w:val="00E40225"/>
    <w:rsid w:val="00E501F0"/>
    <w:rsid w:val="00E6166D"/>
    <w:rsid w:val="00E665AC"/>
    <w:rsid w:val="00E71E2E"/>
    <w:rsid w:val="00E91BFF"/>
    <w:rsid w:val="00E92933"/>
    <w:rsid w:val="00E94FAD"/>
    <w:rsid w:val="00EB0AA4"/>
    <w:rsid w:val="00EB5C88"/>
    <w:rsid w:val="00EC0469"/>
    <w:rsid w:val="00EE268B"/>
    <w:rsid w:val="00EF01F8"/>
    <w:rsid w:val="00EF40EF"/>
    <w:rsid w:val="00EF47FE"/>
    <w:rsid w:val="00EF4CD8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33E0"/>
    <w:rsid w:val="00F76191"/>
    <w:rsid w:val="00F76CC6"/>
    <w:rsid w:val="00F83D7C"/>
    <w:rsid w:val="00F9533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2006/documentManagement/types"/>
    <ds:schemaRef ds:uri="69e7d470-5ec3-4803-8883-56bde35f55f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73F3BA-ED95-4E68-B548-EF11CF4AE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64E8E-CD30-4025-9389-746131E0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2018-12-06T02:16:00Z</dcterms:created>
  <dcterms:modified xsi:type="dcterms:W3CDTF">2018-12-16T22:03:00Z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