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72E47747" w:rsidR="00F1480E" w:rsidRPr="000754EC" w:rsidRDefault="006A0208" w:rsidP="006317F6">
            <w:pPr>
              <w:pStyle w:val="SIUNITCODE"/>
            </w:pPr>
            <w:r>
              <w:t>SFI</w:t>
            </w:r>
            <w:r w:rsidR="006317F6">
              <w:t>PRO</w:t>
            </w:r>
            <w:r w:rsidR="00DD5E98">
              <w:t>203</w:t>
            </w:r>
          </w:p>
        </w:tc>
        <w:tc>
          <w:tcPr>
            <w:tcW w:w="3604" w:type="pct"/>
            <w:shd w:val="clear" w:color="auto" w:fill="auto"/>
          </w:tcPr>
          <w:p w14:paraId="41850966" w14:textId="134D9EA1" w:rsidR="00F1480E" w:rsidRPr="000754EC" w:rsidRDefault="00DD5E98" w:rsidP="000754EC">
            <w:pPr>
              <w:pStyle w:val="SIUnittitle"/>
            </w:pPr>
            <w:r w:rsidRPr="00DD5E98">
              <w:t>Shuck molluscs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2EB4ABC" w14:textId="041ABADE" w:rsidR="00DD5E98" w:rsidRPr="00DD5E98" w:rsidRDefault="00DD5E98" w:rsidP="00DD5E98">
            <w:pPr>
              <w:pStyle w:val="SIText"/>
            </w:pPr>
            <w:r w:rsidRPr="00DD5E98">
              <w:t>This unit of competency describes the skills and knowledge required to open and/or remove the meat (shuck) from molluscs including oysters, scallops and abalone and then prepare</w:t>
            </w:r>
            <w:r w:rsidR="005B59BB">
              <w:t>,</w:t>
            </w:r>
            <w:r w:rsidRPr="00DD5E98">
              <w:t xml:space="preserve"> trim and pack half shells and/or meat according to specifications.</w:t>
            </w:r>
          </w:p>
          <w:p w14:paraId="45ADE507" w14:textId="77777777" w:rsidR="00627A63" w:rsidRDefault="00627A63" w:rsidP="00DD5E98">
            <w:pPr>
              <w:pStyle w:val="SIText"/>
            </w:pPr>
          </w:p>
          <w:p w14:paraId="579ED900" w14:textId="7FA9F25A" w:rsidR="00DD5E98" w:rsidRDefault="00DD5E98" w:rsidP="00DD5E98">
            <w:pPr>
              <w:pStyle w:val="SIText"/>
            </w:pPr>
            <w:r w:rsidRPr="00DD5E98">
              <w:t xml:space="preserve">The unit applies to individuals who </w:t>
            </w:r>
            <w:r w:rsidR="00864BE9">
              <w:t xml:space="preserve">undertake routine tasks in </w:t>
            </w:r>
            <w:r w:rsidRPr="00DD5E98">
              <w:t>shuck</w:t>
            </w:r>
            <w:r w:rsidR="00864BE9">
              <w:t>ing</w:t>
            </w:r>
            <w:r w:rsidRPr="00DD5E98">
              <w:t xml:space="preserve"> and packa</w:t>
            </w:r>
            <w:r w:rsidR="00864BE9">
              <w:t>ging</w:t>
            </w:r>
            <w:r w:rsidRPr="00DD5E98">
              <w:t xml:space="preserve"> molluscs in a fish processing facility</w:t>
            </w:r>
            <w:r w:rsidR="00864BE9">
              <w:t xml:space="preserve"> under the direction of a supervisor</w:t>
            </w:r>
            <w:r w:rsidRPr="00DD5E98">
              <w:t>.</w:t>
            </w:r>
          </w:p>
          <w:p w14:paraId="11E1DEA8" w14:textId="145974FD" w:rsidR="00627A63" w:rsidRDefault="00627A63" w:rsidP="00DD5E98">
            <w:pPr>
              <w:pStyle w:val="SIText"/>
            </w:pPr>
          </w:p>
          <w:p w14:paraId="78675BE0" w14:textId="77777777" w:rsidR="00627A63" w:rsidRPr="00627A63" w:rsidRDefault="00627A63" w:rsidP="00627A63">
            <w:pPr>
              <w:pStyle w:val="SIText"/>
            </w:pPr>
            <w:r w:rsidRPr="00627A63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687B2391" w14:textId="77777777" w:rsidR="00627A63" w:rsidRDefault="00627A63" w:rsidP="005B59BB">
            <w:pPr>
              <w:pStyle w:val="SIText"/>
            </w:pPr>
          </w:p>
          <w:p w14:paraId="7F64C1EC" w14:textId="35C36F71" w:rsidR="00373436" w:rsidRPr="00DD5E98" w:rsidRDefault="00DD5E98" w:rsidP="005B59BB">
            <w:pPr>
              <w:pStyle w:val="SIText"/>
            </w:pPr>
            <w:r w:rsidRPr="00DD5E98">
              <w:t>No occupational licensing, legislative or certification requirements apply to this unit at the time of publication.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5F6CD81D" w:rsidR="006A0208" w:rsidRPr="006A0208" w:rsidRDefault="006317F6" w:rsidP="006317F6">
            <w:pPr>
              <w:pStyle w:val="SIText"/>
            </w:pPr>
            <w:r>
              <w:t>Seafood Processing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PR</w:t>
            </w:r>
            <w:r w:rsidR="00B5038D">
              <w:t>O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D5E98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39E3248C" w:rsidR="00DD5E98" w:rsidRPr="00DD5E98" w:rsidRDefault="00DD5E98" w:rsidP="00DD5E98">
            <w:pPr>
              <w:pStyle w:val="SIText"/>
            </w:pPr>
            <w:r>
              <w:t xml:space="preserve">1. </w:t>
            </w:r>
            <w:r w:rsidRPr="00DD5E98">
              <w:t>Prepare work area</w:t>
            </w:r>
          </w:p>
        </w:tc>
        <w:tc>
          <w:tcPr>
            <w:tcW w:w="3604" w:type="pct"/>
            <w:shd w:val="clear" w:color="auto" w:fill="auto"/>
          </w:tcPr>
          <w:p w14:paraId="281FD2AD" w14:textId="08FA0B55" w:rsidR="00DD5E98" w:rsidRDefault="00DD5E98" w:rsidP="00DD5E98">
            <w:r w:rsidRPr="00DD5E98">
              <w:t>1.1</w:t>
            </w:r>
            <w:r>
              <w:t xml:space="preserve"> </w:t>
            </w:r>
            <w:r w:rsidRPr="00DD5E98">
              <w:t xml:space="preserve">Confirm </w:t>
            </w:r>
            <w:r w:rsidR="007B7576">
              <w:t xml:space="preserve">mollusc </w:t>
            </w:r>
            <w:r w:rsidR="006D01AF">
              <w:t xml:space="preserve">shucking </w:t>
            </w:r>
            <w:r w:rsidRPr="00DD5E98">
              <w:t>work instructions with supervisor</w:t>
            </w:r>
          </w:p>
          <w:p w14:paraId="199BE2B8" w14:textId="08DBDC20" w:rsidR="00DC13C7" w:rsidRPr="00DD5E98" w:rsidRDefault="006D01AF" w:rsidP="00DD5E98">
            <w:r>
              <w:t xml:space="preserve">1.2 </w:t>
            </w:r>
            <w:r w:rsidR="00DC13C7" w:rsidRPr="00DC13C7">
              <w:t>Select</w:t>
            </w:r>
            <w:r w:rsidR="005B59BB">
              <w:t>,</w:t>
            </w:r>
            <w:r w:rsidR="00DC13C7" w:rsidRPr="00DC13C7">
              <w:t xml:space="preserve"> fit </w:t>
            </w:r>
            <w:r w:rsidR="005B59BB">
              <w:t xml:space="preserve">and use </w:t>
            </w:r>
            <w:r w:rsidR="00DC13C7" w:rsidRPr="00DC13C7">
              <w:t>the required personal protective equipment</w:t>
            </w:r>
          </w:p>
          <w:p w14:paraId="67E1EE84" w14:textId="09360F1A" w:rsidR="00DD5E98" w:rsidRPr="00DD5E98" w:rsidRDefault="00DD5E98" w:rsidP="00DD5E98">
            <w:r w:rsidRPr="00DD5E98">
              <w:t>1.</w:t>
            </w:r>
            <w:r w:rsidR="006D01AF">
              <w:t xml:space="preserve">3 </w:t>
            </w:r>
            <w:r w:rsidRPr="00DD5E98">
              <w:t xml:space="preserve">Ensure </w:t>
            </w:r>
            <w:r w:rsidR="006D01AF">
              <w:t xml:space="preserve">work </w:t>
            </w:r>
            <w:r w:rsidR="002F6B7E">
              <w:t>bench</w:t>
            </w:r>
            <w:r w:rsidR="006D01AF">
              <w:t xml:space="preserve"> and </w:t>
            </w:r>
            <w:r w:rsidRPr="00DD5E98">
              <w:t xml:space="preserve">equipment for grading, opening or shucking, rinsing, storing and chilling product </w:t>
            </w:r>
            <w:r w:rsidR="006D01AF">
              <w:t xml:space="preserve">are </w:t>
            </w:r>
            <w:r w:rsidRPr="00DD5E98">
              <w:t>clean and in full working order</w:t>
            </w:r>
          </w:p>
          <w:p w14:paraId="61883C95" w14:textId="3D51C2A3" w:rsidR="00DD5E98" w:rsidRPr="00DD5E98" w:rsidRDefault="00DD5E98" w:rsidP="00DD5E98">
            <w:r w:rsidRPr="00DD5E98">
              <w:t>1.</w:t>
            </w:r>
            <w:r w:rsidR="006D01AF">
              <w:t xml:space="preserve">4 </w:t>
            </w:r>
            <w:r w:rsidRPr="00DD5E98">
              <w:t xml:space="preserve">Make available sufficient potable ice, clean baskets and cold potable water </w:t>
            </w:r>
          </w:p>
          <w:p w14:paraId="202872FB" w14:textId="558C672D" w:rsidR="00DD5E98" w:rsidRPr="00DD5E98" w:rsidRDefault="00DD5E98" w:rsidP="00DD5E98">
            <w:pPr>
              <w:pStyle w:val="SIText"/>
            </w:pPr>
            <w:r w:rsidRPr="00DD5E98">
              <w:t>1.</w:t>
            </w:r>
            <w:r w:rsidR="006D01AF">
              <w:t xml:space="preserve">5 </w:t>
            </w:r>
            <w:r w:rsidR="00CA1D59">
              <w:t>Check</w:t>
            </w:r>
            <w:r w:rsidR="00CA1D59" w:rsidRPr="00DD5E98">
              <w:t xml:space="preserve"> </w:t>
            </w:r>
            <w:r w:rsidRPr="00DD5E98">
              <w:t>identification and traceability of product according to workplace food safety program</w:t>
            </w:r>
          </w:p>
        </w:tc>
      </w:tr>
      <w:tr w:rsidR="00DD5E98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551C4A32" w:rsidR="00DD5E98" w:rsidRPr="00DD5E98" w:rsidRDefault="00DD5E98" w:rsidP="00DD5E98">
            <w:pPr>
              <w:pStyle w:val="SIText"/>
            </w:pPr>
            <w:r w:rsidRPr="00DD5E98">
              <w:t>2.</w:t>
            </w:r>
            <w:r>
              <w:t xml:space="preserve"> </w:t>
            </w:r>
            <w:r w:rsidRPr="00DD5E98">
              <w:t>Wash mollusc</w:t>
            </w:r>
          </w:p>
        </w:tc>
        <w:tc>
          <w:tcPr>
            <w:tcW w:w="3604" w:type="pct"/>
            <w:shd w:val="clear" w:color="auto" w:fill="auto"/>
          </w:tcPr>
          <w:p w14:paraId="041B1E21" w14:textId="53F5D39A" w:rsidR="00DD5E98" w:rsidRPr="00DD5E98" w:rsidRDefault="00DD5E98" w:rsidP="00DD5E98">
            <w:r w:rsidRPr="00DD5E98">
              <w:t>2.1</w:t>
            </w:r>
            <w:r>
              <w:t xml:space="preserve"> </w:t>
            </w:r>
            <w:r w:rsidRPr="00DD5E98">
              <w:t>Clean molluscs in potable water remove all loose shell, grit and mud</w:t>
            </w:r>
            <w:r w:rsidR="00CA1D59">
              <w:t xml:space="preserve"> as required</w:t>
            </w:r>
          </w:p>
          <w:p w14:paraId="1F5F7A9C" w14:textId="18C3A319" w:rsidR="00DD5E98" w:rsidRPr="00DD5E98" w:rsidRDefault="00DD5E98" w:rsidP="00DD5E98">
            <w:r w:rsidRPr="00DD5E98">
              <w:t>2.2</w:t>
            </w:r>
            <w:r>
              <w:t xml:space="preserve"> </w:t>
            </w:r>
            <w:r w:rsidRPr="00DD5E98">
              <w:t>Store molluscs awaiting shucking to maintain cool temperature and avoid contamination</w:t>
            </w:r>
          </w:p>
          <w:p w14:paraId="2B73179F" w14:textId="47D29BF8" w:rsidR="00DD5E98" w:rsidRPr="00DD5E98" w:rsidRDefault="00DD5E98" w:rsidP="00DD5E98">
            <w:pPr>
              <w:pStyle w:val="SIText"/>
            </w:pPr>
            <w:r w:rsidRPr="00DD5E98">
              <w:t>2.3</w:t>
            </w:r>
            <w:r>
              <w:t xml:space="preserve"> </w:t>
            </w:r>
            <w:r w:rsidRPr="00DD5E98">
              <w:t>Discard dead molluscs</w:t>
            </w:r>
            <w:r w:rsidR="00CA1D59">
              <w:t xml:space="preserve"> according to workplace procedures</w:t>
            </w:r>
          </w:p>
        </w:tc>
      </w:tr>
      <w:tr w:rsidR="00DD5E98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19F15788" w:rsidR="00DD5E98" w:rsidRPr="00DD5E98" w:rsidRDefault="00DD5E98" w:rsidP="00DD5E98">
            <w:pPr>
              <w:pStyle w:val="SIText"/>
            </w:pPr>
            <w:r w:rsidRPr="00DD5E98">
              <w:t>3.</w:t>
            </w:r>
            <w:r>
              <w:t xml:space="preserve"> </w:t>
            </w:r>
            <w:r w:rsidRPr="00DD5E98">
              <w:t>Open or remove shells</w:t>
            </w:r>
          </w:p>
        </w:tc>
        <w:tc>
          <w:tcPr>
            <w:tcW w:w="3604" w:type="pct"/>
            <w:shd w:val="clear" w:color="auto" w:fill="auto"/>
          </w:tcPr>
          <w:p w14:paraId="39026F4D" w14:textId="02F13A23" w:rsidR="00DD5E98" w:rsidRPr="00DD5E98" w:rsidRDefault="00DD5E98" w:rsidP="00DD5E98">
            <w:r w:rsidRPr="00DD5E98">
              <w:t>3.1</w:t>
            </w:r>
            <w:r>
              <w:t xml:space="preserve"> </w:t>
            </w:r>
            <w:r w:rsidRPr="00DD5E98">
              <w:t>Cut adductor muscle (bivalves) or foot (abalone) with a knife</w:t>
            </w:r>
            <w:r w:rsidR="008275F4">
              <w:t xml:space="preserve"> according food safety and health and safety requirements</w:t>
            </w:r>
          </w:p>
          <w:p w14:paraId="2D74C1E7" w14:textId="26A9EADE" w:rsidR="00DD5E98" w:rsidRPr="00DD5E98" w:rsidRDefault="00DD5E98" w:rsidP="00DD5E98">
            <w:r w:rsidRPr="00DD5E98">
              <w:t>3.2</w:t>
            </w:r>
            <w:r>
              <w:t xml:space="preserve"> </w:t>
            </w:r>
            <w:r w:rsidRPr="00DD5E98">
              <w:t>Free meat from one shell to produce a half shell (bivalves) or totally remove meat (bivalves and abalone) according to productivity and yield specifications</w:t>
            </w:r>
          </w:p>
          <w:p w14:paraId="733F8817" w14:textId="1907D152" w:rsidR="00DD5E98" w:rsidRPr="00DD5E98" w:rsidRDefault="00DD5E98" w:rsidP="00DD5E98">
            <w:r w:rsidRPr="00DD5E98">
              <w:t>3.3</w:t>
            </w:r>
            <w:r>
              <w:t xml:space="preserve"> </w:t>
            </w:r>
            <w:r w:rsidRPr="00DD5E98">
              <w:t>Rinse half shells or meat quickly under potable water to remove any grit or debris and trim meat as required</w:t>
            </w:r>
          </w:p>
          <w:p w14:paraId="6754DE01" w14:textId="17040C19" w:rsidR="00DD5E98" w:rsidRPr="00DD5E98" w:rsidRDefault="00DD5E98" w:rsidP="00DD5E98">
            <w:r w:rsidRPr="00DD5E98">
              <w:t>3.4</w:t>
            </w:r>
            <w:r>
              <w:t xml:space="preserve"> </w:t>
            </w:r>
            <w:r w:rsidRPr="00DD5E98">
              <w:t>Inspect product visually for any signs of spoilage, defects or parasites, identify undersize or defective product and set aside for other uses</w:t>
            </w:r>
          </w:p>
          <w:p w14:paraId="02A7B6D4" w14:textId="68D18A27" w:rsidR="00DD5E98" w:rsidRPr="00DD5E98" w:rsidRDefault="00DD5E98" w:rsidP="00DD5E98">
            <w:pPr>
              <w:pStyle w:val="SIText"/>
            </w:pPr>
            <w:r w:rsidRPr="00DD5E98">
              <w:t>3.5</w:t>
            </w:r>
            <w:r>
              <w:t xml:space="preserve"> </w:t>
            </w:r>
            <w:r w:rsidRPr="00DD5E98">
              <w:t>Grade product by size or weight</w:t>
            </w:r>
            <w:r w:rsidR="00C10E80">
              <w:t xml:space="preserve"> according to productivity and yield specifications</w:t>
            </w:r>
          </w:p>
        </w:tc>
      </w:tr>
      <w:tr w:rsidR="00DD5E98" w:rsidRPr="00963A46" w14:paraId="768ED5B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16D4B5" w14:textId="004D5F51" w:rsidR="00DD5E98" w:rsidRPr="00DD5E98" w:rsidRDefault="00DD5E98" w:rsidP="00DD5E98">
            <w:pPr>
              <w:pStyle w:val="SIText"/>
            </w:pPr>
            <w:r w:rsidRPr="00DD5E98">
              <w:lastRenderedPageBreak/>
              <w:t>4.</w:t>
            </w:r>
            <w:r>
              <w:t xml:space="preserve"> </w:t>
            </w:r>
            <w:r w:rsidRPr="00DD5E98">
              <w:t>Pack half shells or meats</w:t>
            </w:r>
          </w:p>
        </w:tc>
        <w:tc>
          <w:tcPr>
            <w:tcW w:w="3604" w:type="pct"/>
            <w:shd w:val="clear" w:color="auto" w:fill="auto"/>
          </w:tcPr>
          <w:p w14:paraId="3C9E2C75" w14:textId="6134CFA6" w:rsidR="00DD5E98" w:rsidRPr="00DD5E98" w:rsidRDefault="00DD5E98" w:rsidP="00DD5E98">
            <w:r w:rsidRPr="00DD5E98">
              <w:rPr>
                <w:rFonts w:eastAsiaTheme="minorEastAsia"/>
              </w:rPr>
              <w:t>4.1</w:t>
            </w:r>
            <w:r>
              <w:rPr>
                <w:rFonts w:eastAsiaTheme="minorEastAsia"/>
              </w:rPr>
              <w:t xml:space="preserve"> </w:t>
            </w:r>
            <w:r w:rsidRPr="00DD5E98">
              <w:rPr>
                <w:rFonts w:eastAsiaTheme="minorEastAsia"/>
              </w:rPr>
              <w:t xml:space="preserve">Place graded half shells or </w:t>
            </w:r>
            <w:r w:rsidRPr="00DD5E98">
              <w:t>meat into transport containers by weight or number</w:t>
            </w:r>
          </w:p>
          <w:p w14:paraId="1B1C5A39" w14:textId="6C6A5330" w:rsidR="00DD5E98" w:rsidRPr="00DD5E98" w:rsidRDefault="00DD5E98" w:rsidP="00DD5E98">
            <w:r w:rsidRPr="00DD5E98">
              <w:t>4.2</w:t>
            </w:r>
            <w:r>
              <w:t xml:space="preserve"> </w:t>
            </w:r>
            <w:r w:rsidRPr="00DD5E98">
              <w:t>Separate layers of half shells within the container with plastic sheeting to ensure that no grit is transferred from the shell to the meat</w:t>
            </w:r>
          </w:p>
          <w:p w14:paraId="7B48D7FA" w14:textId="199A3A38" w:rsidR="00DD5E98" w:rsidRPr="00DD5E98" w:rsidRDefault="00DD5E98" w:rsidP="00DD5E98">
            <w:r w:rsidRPr="00DD5E98">
              <w:t>4.</w:t>
            </w:r>
            <w:r w:rsidR="00C10E80">
              <w:t xml:space="preserve">3 </w:t>
            </w:r>
            <w:r w:rsidRPr="00DD5E98">
              <w:t>Label transport containers of packed half shells or meat according to workplace and regulatory guidelines</w:t>
            </w:r>
          </w:p>
          <w:p w14:paraId="3492982B" w14:textId="53176D35" w:rsidR="00DD5E98" w:rsidRPr="00DD5E98" w:rsidRDefault="00DD5E98" w:rsidP="00DD5E98">
            <w:r w:rsidRPr="00DD5E98">
              <w:t>4.</w:t>
            </w:r>
            <w:r w:rsidR="00C10E80">
              <w:t xml:space="preserve">4 </w:t>
            </w:r>
            <w:r w:rsidRPr="00DD5E98">
              <w:t>Transfer transport containers of packed half shells or meat to chillers within required timeframes</w:t>
            </w:r>
          </w:p>
          <w:p w14:paraId="3DEADF8C" w14:textId="6355E19F" w:rsidR="00DD5E98" w:rsidRPr="00DD5E98" w:rsidRDefault="00DD5E98" w:rsidP="00DD5E98">
            <w:pPr>
              <w:pStyle w:val="SIText"/>
            </w:pPr>
            <w:r w:rsidRPr="00DD5E98">
              <w:t>4.</w:t>
            </w:r>
            <w:r w:rsidR="00C10E80">
              <w:t xml:space="preserve">5 </w:t>
            </w:r>
            <w:r w:rsidRPr="00DD5E98">
              <w:t>Maintain identification and traceability of product according to workplace food safety program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D5E98" w:rsidRPr="00336FCA" w:rsidDel="00423CB2" w14:paraId="7A6C86DB" w14:textId="77777777" w:rsidTr="00CA2922">
        <w:tc>
          <w:tcPr>
            <w:tcW w:w="1396" w:type="pct"/>
          </w:tcPr>
          <w:p w14:paraId="63013FFB" w14:textId="3A7B81CF" w:rsidR="00DD5E98" w:rsidRPr="00DD5E98" w:rsidRDefault="00DD5E98" w:rsidP="00DD5E98">
            <w:pPr>
              <w:pStyle w:val="SIText"/>
            </w:pPr>
            <w:r w:rsidRPr="00DD5E98">
              <w:t>Reading</w:t>
            </w:r>
          </w:p>
        </w:tc>
        <w:tc>
          <w:tcPr>
            <w:tcW w:w="3604" w:type="pct"/>
          </w:tcPr>
          <w:p w14:paraId="1D26F408" w14:textId="52A73BD3" w:rsidR="00DD5E98" w:rsidRPr="00DD5E98" w:rsidRDefault="00DD5E98" w:rsidP="00DD5E98">
            <w:pPr>
              <w:pStyle w:val="SIBulletList1"/>
            </w:pPr>
            <w:r w:rsidRPr="00DD5E98">
              <w:t>Interpret productivity and yield specifications</w:t>
            </w:r>
          </w:p>
        </w:tc>
      </w:tr>
      <w:tr w:rsidR="00DD5E98" w:rsidRPr="00336FCA" w:rsidDel="00423CB2" w14:paraId="229D9642" w14:textId="77777777" w:rsidTr="00CA2922">
        <w:tc>
          <w:tcPr>
            <w:tcW w:w="1396" w:type="pct"/>
          </w:tcPr>
          <w:p w14:paraId="307E895A" w14:textId="74AEF487" w:rsidR="00DD5E98" w:rsidRPr="00DD5E98" w:rsidRDefault="00DD5E98" w:rsidP="00DD5E98">
            <w:pPr>
              <w:pStyle w:val="SIText"/>
            </w:pPr>
            <w:r w:rsidRPr="00DD5E98">
              <w:t>Writing</w:t>
            </w:r>
          </w:p>
        </w:tc>
        <w:tc>
          <w:tcPr>
            <w:tcW w:w="3604" w:type="pct"/>
          </w:tcPr>
          <w:p w14:paraId="122EA5DC" w14:textId="76E7C7F1" w:rsidR="00DD5E98" w:rsidRPr="00DD5E98" w:rsidRDefault="00DD5E98" w:rsidP="00DD5E98">
            <w:pPr>
              <w:pStyle w:val="SIBulletList1"/>
              <w:rPr>
                <w:rFonts w:eastAsia="Calibri"/>
              </w:rPr>
            </w:pPr>
            <w:r w:rsidRPr="00DD5E98">
              <w:t>Record product information on paper based and electronic media</w:t>
            </w:r>
          </w:p>
        </w:tc>
      </w:tr>
      <w:tr w:rsidR="00DD5E98" w:rsidRPr="00336FCA" w:rsidDel="00423CB2" w14:paraId="05F8553F" w14:textId="77777777" w:rsidTr="00CA2922">
        <w:tc>
          <w:tcPr>
            <w:tcW w:w="1396" w:type="pct"/>
          </w:tcPr>
          <w:p w14:paraId="0A3AC22F" w14:textId="34EE4DC8" w:rsidR="00DD5E98" w:rsidRPr="00DD5E98" w:rsidRDefault="00DD5E98" w:rsidP="00DD5E98">
            <w:r w:rsidRPr="00DD5E98">
              <w:t>Numeracy</w:t>
            </w:r>
          </w:p>
        </w:tc>
        <w:tc>
          <w:tcPr>
            <w:tcW w:w="3604" w:type="pct"/>
          </w:tcPr>
          <w:p w14:paraId="352AB46B" w14:textId="77777777" w:rsidR="00DD5E98" w:rsidRPr="00DD5E98" w:rsidRDefault="00DD5E98" w:rsidP="00DD5E98">
            <w:pPr>
              <w:pStyle w:val="SIBulletList1"/>
            </w:pPr>
            <w:r w:rsidRPr="00DD5E98">
              <w:t>Count product</w:t>
            </w:r>
          </w:p>
          <w:p w14:paraId="425840A4" w14:textId="77777777" w:rsidR="00DD5E98" w:rsidRPr="00DD5E98" w:rsidRDefault="00DD5E98" w:rsidP="00DD5E98">
            <w:pPr>
              <w:pStyle w:val="SIBulletList1"/>
            </w:pPr>
            <w:r w:rsidRPr="00DD5E98">
              <w:t>Apply size grading</w:t>
            </w:r>
          </w:p>
          <w:p w14:paraId="0B38328F" w14:textId="4EB4B044" w:rsidR="00DD5E98" w:rsidRPr="00DD5E98" w:rsidRDefault="00DD5E98" w:rsidP="00DD5E98">
            <w:pPr>
              <w:pStyle w:val="SIBulletList1"/>
              <w:rPr>
                <w:rFonts w:eastAsia="Calibri"/>
              </w:rPr>
            </w:pPr>
            <w:r w:rsidRPr="00DD5E98">
              <w:t>Identify measurements on weighing scales</w:t>
            </w:r>
          </w:p>
        </w:tc>
      </w:tr>
      <w:tr w:rsidR="00DD5E98" w:rsidRPr="00336FCA" w:rsidDel="00423CB2" w14:paraId="0F023268" w14:textId="77777777" w:rsidTr="00CA2922">
        <w:tc>
          <w:tcPr>
            <w:tcW w:w="1396" w:type="pct"/>
          </w:tcPr>
          <w:p w14:paraId="143678B8" w14:textId="04DAEEA2" w:rsidR="00DD5E98" w:rsidRPr="00DD5E98" w:rsidRDefault="00DD5E98" w:rsidP="00DD5E98">
            <w:r w:rsidRPr="00DD5E98">
              <w:t>Navigate the world of work</w:t>
            </w:r>
          </w:p>
        </w:tc>
        <w:tc>
          <w:tcPr>
            <w:tcW w:w="3604" w:type="pct"/>
          </w:tcPr>
          <w:p w14:paraId="08C1D482" w14:textId="7A5BE812" w:rsidR="00DD5E98" w:rsidRPr="00DD5E98" w:rsidRDefault="00DD5E98" w:rsidP="00DD5E98">
            <w:pPr>
              <w:pStyle w:val="SIBulletList1"/>
              <w:rPr>
                <w:rFonts w:eastAsia="Calibri"/>
              </w:rPr>
            </w:pPr>
            <w:r w:rsidRPr="00DD5E98">
              <w:t>Ask questions to clarify understanding or seek further information</w:t>
            </w:r>
          </w:p>
        </w:tc>
      </w:tr>
      <w:tr w:rsidR="00DD5E98" w:rsidRPr="00336FCA" w:rsidDel="00423CB2" w14:paraId="4BE849ED" w14:textId="77777777" w:rsidTr="00CA2922">
        <w:tc>
          <w:tcPr>
            <w:tcW w:w="1396" w:type="pct"/>
          </w:tcPr>
          <w:p w14:paraId="2809BECC" w14:textId="32E30396" w:rsidR="00DD5E98" w:rsidRPr="00DD5E98" w:rsidRDefault="00DD5E98" w:rsidP="00DD5E98">
            <w:r w:rsidRPr="00DD5E98">
              <w:t>Interact with others</w:t>
            </w:r>
          </w:p>
        </w:tc>
        <w:tc>
          <w:tcPr>
            <w:tcW w:w="3604" w:type="pct"/>
          </w:tcPr>
          <w:p w14:paraId="18E95ED8" w14:textId="109178DB" w:rsidR="00DD5E98" w:rsidRPr="00DD5E98" w:rsidRDefault="00DD5E98" w:rsidP="008275F4">
            <w:pPr>
              <w:pStyle w:val="SIBulletList1"/>
              <w:rPr>
                <w:rFonts w:eastAsia="Calibri"/>
              </w:rPr>
            </w:pPr>
            <w:r w:rsidRPr="00DD5E98">
              <w:t>Communicate and report operational and safety information to relevant personnel</w:t>
            </w:r>
          </w:p>
        </w:tc>
      </w:tr>
      <w:tr w:rsidR="00DD5E98" w:rsidRPr="00336FCA" w:rsidDel="00423CB2" w14:paraId="1F9DEA63" w14:textId="77777777" w:rsidTr="00CA2922">
        <w:tc>
          <w:tcPr>
            <w:tcW w:w="1396" w:type="pct"/>
          </w:tcPr>
          <w:p w14:paraId="1E309450" w14:textId="16B50BA3" w:rsidR="00DD5E98" w:rsidRPr="00DD5E98" w:rsidRDefault="00DD5E98" w:rsidP="00DD5E98">
            <w:r w:rsidRPr="00DD5E98">
              <w:t>Get the work done</w:t>
            </w:r>
          </w:p>
        </w:tc>
        <w:tc>
          <w:tcPr>
            <w:tcW w:w="3604" w:type="pct"/>
          </w:tcPr>
          <w:p w14:paraId="3A8C2D1A" w14:textId="773DA523" w:rsidR="00DD5E98" w:rsidRPr="00DD5E98" w:rsidRDefault="00DD5E98" w:rsidP="00DD5E98">
            <w:pPr>
              <w:pStyle w:val="SIBulletList1"/>
            </w:pPr>
            <w:r w:rsidRPr="00DD5E98">
              <w:t>Maintain a clean and hazard free work area</w:t>
            </w:r>
          </w:p>
          <w:p w14:paraId="2EAB23D3" w14:textId="37D61ADD" w:rsidR="00DD5E98" w:rsidRPr="00DD5E98" w:rsidRDefault="00DD5E98" w:rsidP="00DD5E98">
            <w:pPr>
              <w:pStyle w:val="SIBulletList1"/>
            </w:pPr>
            <w:r w:rsidRPr="00DD5E98">
              <w:t xml:space="preserve">Maintain hygiene standards </w:t>
            </w:r>
          </w:p>
          <w:p w14:paraId="48B695CE" w14:textId="2ED0BEE6" w:rsidR="00DD5E98" w:rsidRPr="00F9218B" w:rsidRDefault="00DD5E98" w:rsidP="00F9218B">
            <w:pPr>
              <w:pStyle w:val="SIBulletList1"/>
              <w:rPr>
                <w:rFonts w:eastAsia="Calibri"/>
              </w:rPr>
            </w:pPr>
            <w:r w:rsidRPr="00DD5E98">
              <w:rPr>
                <w:rFonts w:eastAsia="Calibri"/>
              </w:rPr>
              <w:t>Maintain quality specifications for shucking molluscs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D5E98" w14:paraId="67633B90" w14:textId="77777777" w:rsidTr="00F33FF2">
        <w:tc>
          <w:tcPr>
            <w:tcW w:w="1028" w:type="pct"/>
          </w:tcPr>
          <w:p w14:paraId="666F2C5F" w14:textId="584E8349" w:rsidR="00DD5E98" w:rsidRPr="00DD5E98" w:rsidRDefault="00DD5E98" w:rsidP="00DD5E98">
            <w:pPr>
              <w:pStyle w:val="SIText"/>
            </w:pPr>
            <w:r w:rsidRPr="00DD5E98">
              <w:t>SFIPRO203 Shuck molluscs</w:t>
            </w:r>
          </w:p>
        </w:tc>
        <w:tc>
          <w:tcPr>
            <w:tcW w:w="1105" w:type="pct"/>
          </w:tcPr>
          <w:p w14:paraId="520629F4" w14:textId="18B2F712" w:rsidR="00DD5E98" w:rsidRPr="00DD5E98" w:rsidRDefault="00DD5E98" w:rsidP="00DD5E98">
            <w:pPr>
              <w:pStyle w:val="SIText"/>
            </w:pPr>
            <w:r w:rsidRPr="00DD5E98">
              <w:t>SFIPROC203C Shuck molluscs</w:t>
            </w:r>
          </w:p>
        </w:tc>
        <w:tc>
          <w:tcPr>
            <w:tcW w:w="1251" w:type="pct"/>
          </w:tcPr>
          <w:p w14:paraId="16ABB940" w14:textId="6FBD2C98" w:rsidR="00DD5E98" w:rsidRDefault="00DD5E98" w:rsidP="00DD5E98">
            <w:pPr>
              <w:pStyle w:val="SIText"/>
            </w:pPr>
            <w:r w:rsidRPr="00DD5E98">
              <w:t>Updated to meet Standards for Training Packages</w:t>
            </w:r>
            <w:r w:rsidR="006536FF">
              <w:t>.</w:t>
            </w:r>
          </w:p>
          <w:p w14:paraId="51844FA1" w14:textId="4764B3C3" w:rsidR="007B7576" w:rsidRPr="00DD5E98" w:rsidRDefault="007B7576" w:rsidP="00DD5E98">
            <w:pPr>
              <w:pStyle w:val="SIText"/>
            </w:pPr>
            <w:r>
              <w:t>Minor amendments to performance criteria for clarity</w:t>
            </w:r>
            <w:r w:rsidR="006536FF">
              <w:t>.</w:t>
            </w:r>
          </w:p>
        </w:tc>
        <w:tc>
          <w:tcPr>
            <w:tcW w:w="1616" w:type="pct"/>
          </w:tcPr>
          <w:p w14:paraId="509E63B0" w14:textId="0B3A537E" w:rsidR="00DD5E98" w:rsidRPr="00DD5E98" w:rsidRDefault="00DD5E98" w:rsidP="00DD5E98">
            <w:pPr>
              <w:pStyle w:val="SIText"/>
            </w:pPr>
            <w:r w:rsidRPr="00DD5E98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7FBC6861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DD5E98" w:rsidRPr="00DD5E98">
              <w:t>SFIPRO203 Shuck molluscs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7B5B39C1" w14:textId="6ECC2A2A" w:rsidR="00DD5E98" w:rsidRPr="00DD5E98" w:rsidRDefault="00DD5E98" w:rsidP="00DD5E98">
            <w:pPr>
              <w:pStyle w:val="SIText"/>
            </w:pPr>
            <w:r w:rsidRPr="00DD5E98">
              <w:t>An individual demonstrating competency must satisfy all the elements</w:t>
            </w:r>
            <w:r w:rsidR="00627A63">
              <w:t xml:space="preserve"> and </w:t>
            </w:r>
            <w:r w:rsidRPr="00DD5E98">
              <w:t xml:space="preserve">performance criteria of this unit. </w:t>
            </w:r>
            <w:r w:rsidR="00627A63" w:rsidRPr="00627A63">
              <w:t xml:space="preserve">There must be evidence that the individual has </w:t>
            </w:r>
            <w:r w:rsidR="00C04911">
              <w:t xml:space="preserve">prepared and packed a batch of molluscan meat or meat on half shells </w:t>
            </w:r>
            <w:r w:rsidR="00627A63" w:rsidRPr="00627A63">
              <w:t>on at least one occasion including:</w:t>
            </w:r>
          </w:p>
          <w:p w14:paraId="6A6450F3" w14:textId="0A24B070" w:rsidR="00DD5E98" w:rsidRPr="00DD5E98" w:rsidRDefault="00EC6D01" w:rsidP="00DD5E98">
            <w:pPr>
              <w:pStyle w:val="SIBulletList1"/>
            </w:pPr>
            <w:r>
              <w:t>preparing and</w:t>
            </w:r>
            <w:r w:rsidR="00DD5E98" w:rsidRPr="00DD5E98">
              <w:t xml:space="preserve"> maintaining a hygienic work area and equipment</w:t>
            </w:r>
          </w:p>
          <w:p w14:paraId="25827071" w14:textId="070C12F0" w:rsidR="00DD5E98" w:rsidRPr="00DD5E98" w:rsidRDefault="00DD5E98" w:rsidP="00DD5E98">
            <w:pPr>
              <w:pStyle w:val="SIBulletList1"/>
            </w:pPr>
            <w:r w:rsidRPr="00DD5E98">
              <w:t xml:space="preserve">interpreting </w:t>
            </w:r>
            <w:r w:rsidR="007B7576">
              <w:t xml:space="preserve">shucking </w:t>
            </w:r>
            <w:r w:rsidRPr="00DD5E98">
              <w:t>instructions and procedures</w:t>
            </w:r>
          </w:p>
          <w:p w14:paraId="182063B0" w14:textId="77777777" w:rsidR="00DD5E98" w:rsidRPr="00DD5E98" w:rsidRDefault="00DD5E98" w:rsidP="00DD5E98">
            <w:pPr>
              <w:pStyle w:val="SIBulletList1"/>
            </w:pPr>
            <w:r w:rsidRPr="00DD5E98">
              <w:t>cleaning, rinsing and storing molluscs</w:t>
            </w:r>
          </w:p>
          <w:p w14:paraId="5BD10EAB" w14:textId="77777777" w:rsidR="00DD5E98" w:rsidRPr="00DD5E98" w:rsidRDefault="00DD5E98" w:rsidP="00DD5E98">
            <w:pPr>
              <w:pStyle w:val="SIBulletList1"/>
            </w:pPr>
            <w:r w:rsidRPr="00DD5E98">
              <w:t>grading product</w:t>
            </w:r>
          </w:p>
          <w:p w14:paraId="1222396F" w14:textId="77777777" w:rsidR="00DD5E98" w:rsidRPr="00DD5E98" w:rsidRDefault="00DD5E98" w:rsidP="00DD5E98">
            <w:pPr>
              <w:pStyle w:val="SIBulletList1"/>
            </w:pPr>
            <w:r w:rsidRPr="00DD5E98">
              <w:t>opening, shucking and trimming live molluscs with minimal damage</w:t>
            </w:r>
          </w:p>
          <w:p w14:paraId="65A38BE1" w14:textId="1686E8C4" w:rsidR="009F05B7" w:rsidRDefault="009F05B7" w:rsidP="009F05B7">
            <w:pPr>
              <w:pStyle w:val="SIBulletList1"/>
            </w:pPr>
            <w:r w:rsidRPr="009F05B7">
              <w:t>identifying signs of spoilage and common defects, diseases and parasites in molluscs</w:t>
            </w:r>
          </w:p>
          <w:p w14:paraId="48A43C30" w14:textId="10B40001" w:rsidR="00CF49A8" w:rsidRPr="00CF49A8" w:rsidRDefault="00EC6D01" w:rsidP="006536FF">
            <w:pPr>
              <w:pStyle w:val="SIBulletList1"/>
            </w:pPr>
            <w:proofErr w:type="gramStart"/>
            <w:r>
              <w:t>labelling</w:t>
            </w:r>
            <w:proofErr w:type="gramEnd"/>
            <w:r>
              <w:t xml:space="preserve"> and maintaining traceability of product</w:t>
            </w:r>
            <w:r w:rsidR="00DD5E98" w:rsidRPr="00DD5E98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6A535F1" w14:textId="77777777" w:rsidR="00DD5E98" w:rsidRPr="00DD5E98" w:rsidRDefault="00DD5E98" w:rsidP="00DD5E98">
            <w:pPr>
              <w:pStyle w:val="SIText"/>
            </w:pPr>
            <w:r w:rsidRPr="00DD5E98">
              <w:t>An individual must be able to demonstrate the knowledge required to perform the tasks outlined in the elements and performance criteria of this unit. This includes knowledge of:</w:t>
            </w:r>
          </w:p>
          <w:p w14:paraId="64DB9A4D" w14:textId="77777777" w:rsidR="004D38DD" w:rsidRPr="004D38DD" w:rsidRDefault="004D38DD" w:rsidP="004D38DD">
            <w:pPr>
              <w:pStyle w:val="SIBulletList1"/>
            </w:pPr>
            <w:r w:rsidRPr="004D38DD">
              <w:t>personal, workplace and product hygiene principles for shucking molluscs</w:t>
            </w:r>
          </w:p>
          <w:p w14:paraId="5B132189" w14:textId="77777777" w:rsidR="00DD5E98" w:rsidRPr="00DD5E98" w:rsidRDefault="00DD5E98" w:rsidP="00DD5E98">
            <w:pPr>
              <w:pStyle w:val="SIBulletList1"/>
            </w:pPr>
            <w:r w:rsidRPr="00DD5E98">
              <w:t>food safety program requirements for shucking molluscs</w:t>
            </w:r>
          </w:p>
          <w:p w14:paraId="52805D55" w14:textId="40EE9F7B" w:rsidR="00C04911" w:rsidRPr="00C04911" w:rsidRDefault="00C04911" w:rsidP="00C04911">
            <w:pPr>
              <w:pStyle w:val="SIBulletList1"/>
            </w:pPr>
            <w:r>
              <w:t xml:space="preserve">types of molluscs </w:t>
            </w:r>
            <w:r w:rsidRPr="00DD5E98">
              <w:t xml:space="preserve">species and location of key organs inside the body (gills, guts, gonad and adductor muscle) </w:t>
            </w:r>
          </w:p>
          <w:p w14:paraId="7371ACE6" w14:textId="77777777" w:rsidR="004D38DD" w:rsidRDefault="004D38DD" w:rsidP="00DD5E98">
            <w:pPr>
              <w:pStyle w:val="SIBulletList1"/>
            </w:pPr>
            <w:r w:rsidRPr="004D38DD">
              <w:t xml:space="preserve">tools and equipment used in mollusc shucking operations </w:t>
            </w:r>
          </w:p>
          <w:p w14:paraId="07FA6D73" w14:textId="787674F4" w:rsidR="00DD5E98" w:rsidRPr="00DD5E98" w:rsidRDefault="00DD5E98" w:rsidP="00DD5E98">
            <w:pPr>
              <w:pStyle w:val="SIBulletList1"/>
            </w:pPr>
            <w:r w:rsidRPr="00DD5E98">
              <w:t>hygienic handling and storage of live molluscs intended to be eaten raw or cooked</w:t>
            </w:r>
          </w:p>
          <w:p w14:paraId="5E1BE7B5" w14:textId="457A4C64" w:rsidR="00DD5E98" w:rsidRPr="00DD5E98" w:rsidRDefault="00DD5E98" w:rsidP="00DD5E98">
            <w:pPr>
              <w:pStyle w:val="SIBulletList1"/>
            </w:pPr>
            <w:r w:rsidRPr="00DD5E98">
              <w:t>quality, productivity and yield specifications</w:t>
            </w:r>
            <w:r w:rsidR="004D38DD">
              <w:t xml:space="preserve"> for molluscs shucking operations</w:t>
            </w:r>
          </w:p>
          <w:p w14:paraId="7D18C0FD" w14:textId="519738B9" w:rsidR="00CF49A8" w:rsidRPr="004D38DD" w:rsidRDefault="00DD5E98" w:rsidP="004D38DD">
            <w:pPr>
              <w:pStyle w:val="SIBulletList1"/>
            </w:pPr>
            <w:proofErr w:type="gramStart"/>
            <w:r w:rsidRPr="00DD5E98">
              <w:t>spoilage</w:t>
            </w:r>
            <w:proofErr w:type="gramEnd"/>
            <w:r w:rsidRPr="00DD5E98">
              <w:t xml:space="preserve"> pattern and common defects, diseases and parasites for molluscs</w:t>
            </w:r>
            <w:r w:rsidR="004D38DD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BE2976A" w14:textId="77777777" w:rsidR="00DD5E98" w:rsidRPr="00DD5E98" w:rsidRDefault="00DD5E98" w:rsidP="00DD5E98">
            <w:pPr>
              <w:pStyle w:val="SIText"/>
            </w:pPr>
            <w:r w:rsidRPr="00DD5E98">
              <w:t xml:space="preserve">Assessment of this unit of competency must take place under the following conditions: </w:t>
            </w:r>
          </w:p>
          <w:p w14:paraId="5ED773FB" w14:textId="77777777" w:rsidR="00DD5E98" w:rsidRPr="00DD5E98" w:rsidRDefault="00DD5E98" w:rsidP="00DD5E98">
            <w:pPr>
              <w:pStyle w:val="SIBulletList1"/>
            </w:pPr>
            <w:r w:rsidRPr="00DD5E98">
              <w:t>physical conditions:</w:t>
            </w:r>
          </w:p>
          <w:p w14:paraId="0A89400D" w14:textId="3167F204" w:rsidR="00DD5E98" w:rsidRPr="00DD5E98" w:rsidRDefault="009C2CDD" w:rsidP="009C2CDD">
            <w:pPr>
              <w:pStyle w:val="SIBulletList2"/>
            </w:pPr>
            <w:r w:rsidRPr="009C2CDD">
              <w:t>skills must be demonstrated in a seafood processing workplace or an environment that accurately represents workplace conditions</w:t>
            </w:r>
          </w:p>
          <w:p w14:paraId="4E6ADA5C" w14:textId="77777777" w:rsidR="00DD5E98" w:rsidRPr="00DD5E98" w:rsidRDefault="00DD5E98" w:rsidP="00DD5E98">
            <w:pPr>
              <w:pStyle w:val="SIBulletList1"/>
            </w:pPr>
            <w:r w:rsidRPr="00DD5E98">
              <w:t>resources, equipment and materials:</w:t>
            </w:r>
          </w:p>
          <w:p w14:paraId="7447D8A1" w14:textId="77777777" w:rsidR="00DD5E98" w:rsidRPr="00DD5E98" w:rsidRDefault="00DD5E98" w:rsidP="00DD5E98">
            <w:pPr>
              <w:pStyle w:val="SIBulletList2"/>
            </w:pPr>
            <w:r w:rsidRPr="00DD5E98">
              <w:t>clean packing cases</w:t>
            </w:r>
          </w:p>
          <w:p w14:paraId="034E9732" w14:textId="77777777" w:rsidR="00DD5E98" w:rsidRPr="00DD5E98" w:rsidRDefault="00DD5E98" w:rsidP="00DD5E98">
            <w:pPr>
              <w:pStyle w:val="SIBulletList2"/>
            </w:pPr>
            <w:r w:rsidRPr="00DD5E98">
              <w:t>knives, baskets, waste tubs and running potable water</w:t>
            </w:r>
          </w:p>
          <w:p w14:paraId="790B12A2" w14:textId="77777777" w:rsidR="00DD5E98" w:rsidRPr="00DD5E98" w:rsidRDefault="00DD5E98" w:rsidP="00DD5E98">
            <w:pPr>
              <w:pStyle w:val="SIBulletList2"/>
            </w:pPr>
            <w:r w:rsidRPr="00DD5E98">
              <w:t>opening bench</w:t>
            </w:r>
          </w:p>
          <w:p w14:paraId="38D6B6E8" w14:textId="77777777" w:rsidR="00DD5E98" w:rsidRPr="00DD5E98" w:rsidRDefault="00DD5E98" w:rsidP="00DD5E98">
            <w:pPr>
              <w:pStyle w:val="SIBulletList2"/>
            </w:pPr>
            <w:r w:rsidRPr="00DD5E98">
              <w:t>product (bivalves or abalone)</w:t>
            </w:r>
          </w:p>
          <w:p w14:paraId="2033BBF9" w14:textId="4D9225E2" w:rsidR="00DD5E98" w:rsidRDefault="00DD5E98" w:rsidP="00DD5E98">
            <w:pPr>
              <w:pStyle w:val="SIBulletList2"/>
            </w:pPr>
            <w:r w:rsidRPr="00DD5E98">
              <w:t>washing tubs</w:t>
            </w:r>
          </w:p>
          <w:p w14:paraId="49D8042E" w14:textId="77777777" w:rsidR="009C2CDD" w:rsidRPr="009C2CDD" w:rsidRDefault="009C2CDD" w:rsidP="009C2CDD">
            <w:pPr>
              <w:pStyle w:val="SIBulletList1"/>
            </w:pPr>
            <w:r w:rsidRPr="009C2CDD">
              <w:t>specifications:</w:t>
            </w:r>
          </w:p>
          <w:p w14:paraId="18FC4F29" w14:textId="32C26F91" w:rsidR="009C2CDD" w:rsidRDefault="009C2CDD" w:rsidP="009C2CDD">
            <w:pPr>
              <w:pStyle w:val="SIBulletList2"/>
            </w:pPr>
            <w:r w:rsidRPr="009C2CDD">
              <w:t xml:space="preserve">workplace procedures </w:t>
            </w:r>
            <w:r>
              <w:t>for shucking molluscs that</w:t>
            </w:r>
            <w:r w:rsidRPr="009C2CDD">
              <w:t xml:space="preserve"> includes advice on food safety</w:t>
            </w:r>
            <w:r w:rsidR="002F6B7E">
              <w:t>,</w:t>
            </w:r>
            <w:r w:rsidRPr="009C2CDD">
              <w:t xml:space="preserve"> health and safety</w:t>
            </w:r>
            <w:r w:rsidR="002F6B7E">
              <w:t>, quality and environmental</w:t>
            </w:r>
            <w:r w:rsidRPr="009C2CDD">
              <w:t xml:space="preserve"> requirements</w:t>
            </w:r>
          </w:p>
          <w:p w14:paraId="36BB5F53" w14:textId="77777777" w:rsidR="009C2CDD" w:rsidRDefault="009C2CDD" w:rsidP="005B59BB">
            <w:pPr>
              <w:pStyle w:val="SIBulletList1"/>
            </w:pPr>
            <w:r>
              <w:t>relationships:</w:t>
            </w:r>
          </w:p>
          <w:p w14:paraId="7AC43048" w14:textId="5013834A" w:rsidR="009C2CDD" w:rsidRPr="00DD5E98" w:rsidRDefault="009C2CDD">
            <w:pPr>
              <w:pStyle w:val="SIBulletList2"/>
            </w:pPr>
            <w:proofErr w:type="gramStart"/>
            <w:r>
              <w:t>interactions</w:t>
            </w:r>
            <w:proofErr w:type="gramEnd"/>
            <w:r>
              <w:t xml:space="preserve"> with supervisor</w:t>
            </w:r>
            <w:r w:rsidRPr="009C2CDD">
              <w:t>.</w:t>
            </w:r>
          </w:p>
          <w:p w14:paraId="7BBF0330" w14:textId="77777777" w:rsidR="00DD5E98" w:rsidRPr="00DD5E98" w:rsidRDefault="00DD5E98" w:rsidP="00DD5E98"/>
          <w:p w14:paraId="71739C8B" w14:textId="44F3C5C8" w:rsidR="00CF49A8" w:rsidRPr="00CF49A8" w:rsidRDefault="00DD5E98" w:rsidP="00DD5E98">
            <w:pPr>
              <w:pStyle w:val="SIText"/>
            </w:pPr>
            <w:r w:rsidRPr="00DD5E9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9B0F5" w14:textId="77777777" w:rsidR="001E61C0" w:rsidRDefault="001E61C0" w:rsidP="00BF3F0A">
      <w:r>
        <w:separator/>
      </w:r>
    </w:p>
    <w:p w14:paraId="5F96542F" w14:textId="77777777" w:rsidR="001E61C0" w:rsidRDefault="001E61C0"/>
  </w:endnote>
  <w:endnote w:type="continuationSeparator" w:id="0">
    <w:p w14:paraId="1D58A7A3" w14:textId="77777777" w:rsidR="001E61C0" w:rsidRDefault="001E61C0" w:rsidP="00BF3F0A">
      <w:r>
        <w:continuationSeparator/>
      </w:r>
    </w:p>
    <w:p w14:paraId="6D23C6F8" w14:textId="77777777" w:rsidR="001E61C0" w:rsidRDefault="001E6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23D4C1B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91AC0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BF36E" w14:textId="77777777" w:rsidR="001E61C0" w:rsidRDefault="001E61C0" w:rsidP="00BF3F0A">
      <w:r>
        <w:separator/>
      </w:r>
    </w:p>
    <w:p w14:paraId="47C6930F" w14:textId="77777777" w:rsidR="001E61C0" w:rsidRDefault="001E61C0"/>
  </w:footnote>
  <w:footnote w:type="continuationSeparator" w:id="0">
    <w:p w14:paraId="50BA3D0B" w14:textId="77777777" w:rsidR="001E61C0" w:rsidRDefault="001E61C0" w:rsidP="00BF3F0A">
      <w:r>
        <w:continuationSeparator/>
      </w:r>
    </w:p>
    <w:p w14:paraId="13C4B93F" w14:textId="77777777" w:rsidR="001E61C0" w:rsidRDefault="001E61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2A48F6B8" w:rsidR="00540BD0" w:rsidRDefault="00BB79E3">
    <w:r>
      <w:t>SFI</w:t>
    </w:r>
    <w:r w:rsidR="006317F6">
      <w:t>PRO</w:t>
    </w:r>
    <w:r w:rsidR="00DD5E98">
      <w:t xml:space="preserve">203 </w:t>
    </w:r>
    <w:r w:rsidR="00DD5E98" w:rsidRPr="00DD5E98">
      <w:t>Shuck molluscs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0567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E61C0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6338"/>
    <w:rsid w:val="002C55E9"/>
    <w:rsid w:val="002D0C8B"/>
    <w:rsid w:val="002D330A"/>
    <w:rsid w:val="002E170C"/>
    <w:rsid w:val="002E193E"/>
    <w:rsid w:val="002F6B7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93020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38DD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2C35"/>
    <w:rsid w:val="005A1D70"/>
    <w:rsid w:val="005A3AA5"/>
    <w:rsid w:val="005A6C9C"/>
    <w:rsid w:val="005A74DC"/>
    <w:rsid w:val="005B5146"/>
    <w:rsid w:val="005B59BB"/>
    <w:rsid w:val="005B7815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7A63"/>
    <w:rsid w:val="006317F6"/>
    <w:rsid w:val="00633CFE"/>
    <w:rsid w:val="00634FCA"/>
    <w:rsid w:val="00643D1B"/>
    <w:rsid w:val="006452B8"/>
    <w:rsid w:val="006469E2"/>
    <w:rsid w:val="006470B0"/>
    <w:rsid w:val="00652E62"/>
    <w:rsid w:val="006536FF"/>
    <w:rsid w:val="00680F1B"/>
    <w:rsid w:val="00686A49"/>
    <w:rsid w:val="00687B62"/>
    <w:rsid w:val="00690C44"/>
    <w:rsid w:val="006969D9"/>
    <w:rsid w:val="006A0208"/>
    <w:rsid w:val="006A2B68"/>
    <w:rsid w:val="006C2F32"/>
    <w:rsid w:val="006D01AF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7576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75F4"/>
    <w:rsid w:val="00830267"/>
    <w:rsid w:val="008306E7"/>
    <w:rsid w:val="00834BC8"/>
    <w:rsid w:val="00837FD6"/>
    <w:rsid w:val="00847B60"/>
    <w:rsid w:val="00850243"/>
    <w:rsid w:val="00850DBC"/>
    <w:rsid w:val="00851BE5"/>
    <w:rsid w:val="008545EB"/>
    <w:rsid w:val="008607A3"/>
    <w:rsid w:val="00864BE9"/>
    <w:rsid w:val="00865011"/>
    <w:rsid w:val="00886790"/>
    <w:rsid w:val="008908DE"/>
    <w:rsid w:val="008A12ED"/>
    <w:rsid w:val="008A39D3"/>
    <w:rsid w:val="008B2C77"/>
    <w:rsid w:val="008B4AD2"/>
    <w:rsid w:val="008B6A3E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C2CDD"/>
    <w:rsid w:val="009C577E"/>
    <w:rsid w:val="009D15E2"/>
    <w:rsid w:val="009D15FE"/>
    <w:rsid w:val="009D5D2C"/>
    <w:rsid w:val="009F05B7"/>
    <w:rsid w:val="009F0DCC"/>
    <w:rsid w:val="009F11CA"/>
    <w:rsid w:val="00A016A0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1AC0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038D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79E3"/>
    <w:rsid w:val="00BC5075"/>
    <w:rsid w:val="00BC5419"/>
    <w:rsid w:val="00BD3B0F"/>
    <w:rsid w:val="00BF1D4C"/>
    <w:rsid w:val="00BF3F0A"/>
    <w:rsid w:val="00C04911"/>
    <w:rsid w:val="00C10E80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1D59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3C7"/>
    <w:rsid w:val="00DC1D69"/>
    <w:rsid w:val="00DC5A3A"/>
    <w:rsid w:val="00DD0726"/>
    <w:rsid w:val="00DD5E98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C6D01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218B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aa9da404-6c36-480a-82f4-4fab7cd33537">
      <UserInfo>
        <DisplayName>Lina Robinson</DisplayName>
        <AccountId>934</AccountId>
        <AccountType/>
      </UserInfo>
    </Assigned_x0020_to0>
    <Project_x0020_Phase xmlns="aa9da404-6c36-480a-82f4-4fab7cd33537">Development</Project_x0020_Phase>
    <Project xmlns="aa9da404-6c36-480a-82f4-4fab7cd33537">Post Harvest</Proje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0375CB0FAB488F22D4DC33D1A1E5" ma:contentTypeVersion="5" ma:contentTypeDescription="Create a new document." ma:contentTypeScope="" ma:versionID="8c48ccb1b5bd6b4603fd9b363a8f25c3">
  <xsd:schema xmlns:xsd="http://www.w3.org/2001/XMLSchema" xmlns:xs="http://www.w3.org/2001/XMLSchema" xmlns:p="http://schemas.microsoft.com/office/2006/metadata/properties" xmlns:ns2="aa9da404-6c36-480a-82f4-4fab7cd33537" targetNamespace="http://schemas.microsoft.com/office/2006/metadata/properties" ma:root="true" ma:fieldsID="cab89bd783599a84691ee53e758d42ae" ns2:_="">
    <xsd:import namespace="aa9da404-6c36-480a-82f4-4fab7cd335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a404-6c36-480a-82f4-4fab7cd335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aa9da404-6c36-480a-82f4-4fab7cd33537"/>
  </ds:schemaRefs>
</ds:datastoreItem>
</file>

<file path=customXml/itemProps3.xml><?xml version="1.0" encoding="utf-8"?>
<ds:datastoreItem xmlns:ds="http://schemas.openxmlformats.org/officeDocument/2006/customXml" ds:itemID="{E1AE40CC-6CF7-4875-8BF9-D97AF140F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da404-6c36-480a-82f4-4fab7cd33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65C32-AAD6-40D2-BADE-569D99D6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2018-09-21T06:02:00Z</dcterms:created>
  <dcterms:modified xsi:type="dcterms:W3CDTF">2018-09-21T06:03:00Z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0x01010084C00375CB0FAB488F22D4DC33D1A1E5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