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B5243B" w:rsidRPr="00963A46" w14:paraId="06140BFA" w14:textId="77777777" w:rsidTr="00860680">
        <w:trPr>
          <w:tblHeader/>
        </w:trPr>
        <w:tc>
          <w:tcPr>
            <w:tcW w:w="1396" w:type="pct"/>
            <w:shd w:val="clear" w:color="auto" w:fill="auto"/>
          </w:tcPr>
          <w:p w14:paraId="0FF11F45" w14:textId="3AD2EAB7" w:rsidR="00B5243B" w:rsidRPr="00B5243B" w:rsidRDefault="00A1311A" w:rsidP="00A1311A">
            <w:pPr>
              <w:pStyle w:val="SIUNITCODE"/>
            </w:pPr>
            <w:r>
              <w:t>AHCWRK3XX</w:t>
            </w:r>
          </w:p>
        </w:tc>
        <w:tc>
          <w:tcPr>
            <w:tcW w:w="3604" w:type="pct"/>
            <w:shd w:val="clear" w:color="auto" w:fill="auto"/>
          </w:tcPr>
          <w:p w14:paraId="30494620" w14:textId="0F378E8A" w:rsidR="00B5243B" w:rsidRPr="00B5243B" w:rsidRDefault="00B5243B" w:rsidP="00B5243B">
            <w:pPr>
              <w:pStyle w:val="SIUnittitle"/>
            </w:pPr>
            <w:r w:rsidRPr="00E94BB9">
              <w:t xml:space="preserve">Operate in isolated and remote situations </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01173CAB" w14:textId="77777777" w:rsidR="00F5606D" w:rsidRPr="00F5606D" w:rsidRDefault="00F5606D" w:rsidP="00F5606D">
            <w:pPr>
              <w:pStyle w:val="SIText"/>
            </w:pPr>
            <w:r w:rsidRPr="00ED46BC">
              <w:t xml:space="preserve">This unit of competency describes the skills and knowledge required </w:t>
            </w:r>
            <w:r w:rsidRPr="00F5606D">
              <w:t>to plan, prepare for and work safely in isolated and remote situations.</w:t>
            </w:r>
          </w:p>
          <w:p w14:paraId="737F2151" w14:textId="77777777" w:rsidR="00F5606D" w:rsidRPr="00ED46BC" w:rsidRDefault="00F5606D" w:rsidP="00F5606D">
            <w:pPr>
              <w:pStyle w:val="SIText"/>
            </w:pPr>
          </w:p>
          <w:p w14:paraId="1AAC7EA3" w14:textId="77777777" w:rsidR="004706E7" w:rsidRPr="004706E7" w:rsidDel="00AE6D0F" w:rsidRDefault="004706E7" w:rsidP="00A64723">
            <w:pPr>
              <w:pStyle w:val="SIText"/>
            </w:pPr>
            <w:r w:rsidRPr="004706E7">
              <w:t>The unit applies to individuals who work under broad direction and take responsibility for their own work. They use discretion and judgement in the selection, allocation and use of available resources and for solving problems.</w:t>
            </w:r>
          </w:p>
          <w:p w14:paraId="5772E01A" w14:textId="77777777" w:rsidR="00F5606D" w:rsidRPr="00ED46BC" w:rsidRDefault="00F5606D" w:rsidP="00F5606D">
            <w:pPr>
              <w:pStyle w:val="SIText"/>
            </w:pPr>
          </w:p>
          <w:p w14:paraId="70546F4A" w14:textId="6D0C2247" w:rsidR="008B0C84" w:rsidRPr="008B0C84" w:rsidRDefault="00F5606D" w:rsidP="00F5606D">
            <w:r w:rsidRPr="00ED46BC">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8B0C84" w:rsidRPr="00963A46" w14:paraId="6A27A30B" w14:textId="77777777" w:rsidTr="00860680">
        <w:tc>
          <w:tcPr>
            <w:tcW w:w="1396" w:type="pct"/>
            <w:shd w:val="clear" w:color="auto" w:fill="auto"/>
          </w:tcPr>
          <w:p w14:paraId="3574BF12" w14:textId="00F4AD5D" w:rsidR="008B0C84" w:rsidRPr="008B0C84" w:rsidRDefault="008B0C84" w:rsidP="008B0C84">
            <w:pPr>
              <w:pStyle w:val="SIHeading2"/>
            </w:pPr>
            <w:r w:rsidRPr="00923720">
              <w:t>Unit Sector</w:t>
            </w:r>
          </w:p>
        </w:tc>
        <w:tc>
          <w:tcPr>
            <w:tcW w:w="3604" w:type="pct"/>
            <w:shd w:val="clear" w:color="auto" w:fill="auto"/>
          </w:tcPr>
          <w:p w14:paraId="5AD2F5AC" w14:textId="3401A64B" w:rsidR="008B0C84" w:rsidRPr="008B0C84" w:rsidRDefault="00F5606D" w:rsidP="008B0C84">
            <w:pPr>
              <w:pStyle w:val="SIText"/>
            </w:pPr>
            <w:r w:rsidRPr="009C7F3B">
              <w:t>Work (WRK)</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606D" w:rsidRPr="00963A46" w14:paraId="488D3012" w14:textId="77777777" w:rsidTr="00860680">
        <w:trPr>
          <w:cantSplit/>
        </w:trPr>
        <w:tc>
          <w:tcPr>
            <w:tcW w:w="1396" w:type="pct"/>
            <w:shd w:val="clear" w:color="auto" w:fill="auto"/>
          </w:tcPr>
          <w:p w14:paraId="629230BC" w14:textId="6CF22861" w:rsidR="00F5606D" w:rsidRPr="00F5606D" w:rsidRDefault="00F5606D" w:rsidP="00F5606D">
            <w:pPr>
              <w:pStyle w:val="SIText"/>
            </w:pPr>
            <w:r>
              <w:t>1.</w:t>
            </w:r>
            <w:r w:rsidR="00D661D6">
              <w:t xml:space="preserve"> </w:t>
            </w:r>
            <w:r w:rsidRPr="00F5606D">
              <w:t>Plan for operating in remote environments</w:t>
            </w:r>
          </w:p>
        </w:tc>
        <w:tc>
          <w:tcPr>
            <w:tcW w:w="3604" w:type="pct"/>
            <w:shd w:val="clear" w:color="auto" w:fill="auto"/>
          </w:tcPr>
          <w:p w14:paraId="60747788" w14:textId="77777777" w:rsidR="00F5606D" w:rsidRPr="00F5606D" w:rsidRDefault="00F5606D" w:rsidP="00F5606D">
            <w:pPr>
              <w:pStyle w:val="SIText"/>
            </w:pPr>
            <w:r w:rsidRPr="00ED46BC">
              <w:t>1.</w:t>
            </w:r>
            <w:r w:rsidRPr="00F5606D">
              <w:t>1 Collate and record information relating to the operating environment and location</w:t>
            </w:r>
          </w:p>
          <w:p w14:paraId="6F1A7438" w14:textId="77777777" w:rsidR="00F5606D" w:rsidRPr="00F5606D" w:rsidRDefault="00F5606D" w:rsidP="00F5606D">
            <w:pPr>
              <w:pStyle w:val="SIText"/>
            </w:pPr>
            <w:r w:rsidRPr="00ED46BC">
              <w:t>1.2</w:t>
            </w:r>
            <w:r w:rsidRPr="00F5606D">
              <w:t xml:space="preserve"> Establish detailed operating plans for work, travel, emergencies, timeframes and contingencies with supervisor</w:t>
            </w:r>
          </w:p>
          <w:p w14:paraId="64E9840C" w14:textId="77777777" w:rsidR="00F5606D" w:rsidRPr="00F5606D" w:rsidRDefault="00F5606D" w:rsidP="00F5606D">
            <w:pPr>
              <w:pStyle w:val="SIText"/>
            </w:pPr>
            <w:r w:rsidRPr="00ED46BC">
              <w:t>1.3</w:t>
            </w:r>
            <w:r w:rsidRPr="00F5606D">
              <w:t xml:space="preserve"> Notify appropriate authorities of the action plans and time schedules according to workplace procedures</w:t>
            </w:r>
          </w:p>
          <w:p w14:paraId="6D7BBC5D" w14:textId="77777777" w:rsidR="00F5606D" w:rsidRPr="00F5606D" w:rsidRDefault="00F5606D" w:rsidP="00F5606D">
            <w:pPr>
              <w:pStyle w:val="SIText"/>
            </w:pPr>
            <w:r w:rsidRPr="00ED46BC">
              <w:t>1.4</w:t>
            </w:r>
            <w:r w:rsidRPr="00F5606D">
              <w:t xml:space="preserve"> Identify and source relevant maps</w:t>
            </w:r>
          </w:p>
          <w:p w14:paraId="32BE45EC" w14:textId="4D685DAC" w:rsidR="00694373" w:rsidRPr="00F5606D" w:rsidRDefault="00F5606D" w:rsidP="00694373">
            <w:pPr>
              <w:pStyle w:val="SIText"/>
            </w:pPr>
            <w:r w:rsidRPr="00ED46BC">
              <w:t>1.5</w:t>
            </w:r>
            <w:r w:rsidRPr="00F5606D">
              <w:t xml:space="preserve"> </w:t>
            </w:r>
            <w:r w:rsidR="00694373">
              <w:t>Conduct a risk assessment for possible health, safety and environmental hazards for remote location</w:t>
            </w:r>
          </w:p>
        </w:tc>
      </w:tr>
      <w:tr w:rsidR="00F5606D" w:rsidRPr="00963A46" w14:paraId="524B7678" w14:textId="77777777" w:rsidTr="00860680">
        <w:trPr>
          <w:cantSplit/>
        </w:trPr>
        <w:tc>
          <w:tcPr>
            <w:tcW w:w="1396" w:type="pct"/>
            <w:shd w:val="clear" w:color="auto" w:fill="auto"/>
          </w:tcPr>
          <w:p w14:paraId="6B7A0B5D" w14:textId="197CE3EA" w:rsidR="00F5606D" w:rsidRPr="00F5606D" w:rsidRDefault="00F5606D" w:rsidP="00F5606D">
            <w:pPr>
              <w:pStyle w:val="SIText"/>
            </w:pPr>
            <w:r>
              <w:t>2.</w:t>
            </w:r>
            <w:r w:rsidR="00D661D6">
              <w:t xml:space="preserve"> </w:t>
            </w:r>
            <w:r w:rsidRPr="00F5606D">
              <w:t>Prepare for operating in remote environments</w:t>
            </w:r>
          </w:p>
        </w:tc>
        <w:tc>
          <w:tcPr>
            <w:tcW w:w="3604" w:type="pct"/>
            <w:shd w:val="clear" w:color="auto" w:fill="auto"/>
          </w:tcPr>
          <w:p w14:paraId="3C70F7F6" w14:textId="77777777" w:rsidR="00F5606D" w:rsidRPr="00F5606D" w:rsidRDefault="00F5606D" w:rsidP="00F5606D">
            <w:pPr>
              <w:pStyle w:val="SIText"/>
            </w:pPr>
            <w:r w:rsidRPr="00ED46BC">
              <w:t>2.1</w:t>
            </w:r>
            <w:r w:rsidRPr="00F5606D">
              <w:t xml:space="preserve"> Prepare personal needs for remote situation according to plan</w:t>
            </w:r>
          </w:p>
          <w:p w14:paraId="54E57C65" w14:textId="77777777" w:rsidR="00F5606D" w:rsidRPr="00F5606D" w:rsidRDefault="00F5606D" w:rsidP="00F5606D">
            <w:pPr>
              <w:pStyle w:val="SIText"/>
            </w:pPr>
            <w:r w:rsidRPr="00ED46BC">
              <w:t>2.2</w:t>
            </w:r>
            <w:r w:rsidRPr="00F5606D">
              <w:t xml:space="preserve"> Prepare transportation and equipment required for prescribed work according to workplace procedures</w:t>
            </w:r>
          </w:p>
          <w:p w14:paraId="02E21B57" w14:textId="77777777" w:rsidR="00F5606D" w:rsidRPr="00F5606D" w:rsidRDefault="00F5606D" w:rsidP="00F5606D">
            <w:pPr>
              <w:pStyle w:val="SIText"/>
            </w:pPr>
            <w:r w:rsidRPr="00ED46BC">
              <w:t>2.3</w:t>
            </w:r>
            <w:r w:rsidRPr="00F5606D">
              <w:t xml:space="preserve"> Obtain and review relevant maps prior to departure to orient and plan route</w:t>
            </w:r>
          </w:p>
          <w:p w14:paraId="373F9A9E" w14:textId="77777777" w:rsidR="00F5606D" w:rsidRPr="00F5606D" w:rsidRDefault="00F5606D" w:rsidP="00F5606D">
            <w:pPr>
              <w:pStyle w:val="SIText"/>
            </w:pPr>
            <w:r w:rsidRPr="00ED46BC">
              <w:t>2.4</w:t>
            </w:r>
            <w:r w:rsidRPr="00F5606D">
              <w:t xml:space="preserve"> Record planned activities and itinerary prior to departure according to workplace procedures</w:t>
            </w:r>
          </w:p>
          <w:p w14:paraId="605259CA" w14:textId="1E1B7A37" w:rsidR="00F5606D" w:rsidRPr="00F5606D" w:rsidRDefault="00F5606D" w:rsidP="00F5606D">
            <w:pPr>
              <w:pStyle w:val="SIText"/>
            </w:pPr>
            <w:r w:rsidRPr="00ED46BC">
              <w:t>2.5</w:t>
            </w:r>
            <w:r w:rsidRPr="00F5606D">
              <w:t xml:space="preserve"> Identify weather conditions and assess effect on travel and operating outcomes</w:t>
            </w:r>
          </w:p>
        </w:tc>
      </w:tr>
      <w:tr w:rsidR="00F5606D" w:rsidRPr="00963A46" w14:paraId="6A4A40F7" w14:textId="77777777" w:rsidTr="00860680">
        <w:trPr>
          <w:cantSplit/>
        </w:trPr>
        <w:tc>
          <w:tcPr>
            <w:tcW w:w="1396" w:type="pct"/>
            <w:shd w:val="clear" w:color="auto" w:fill="auto"/>
          </w:tcPr>
          <w:p w14:paraId="340CBC80" w14:textId="6C136D95" w:rsidR="00F5606D" w:rsidRPr="00F5606D" w:rsidRDefault="00F5606D" w:rsidP="00F5606D">
            <w:pPr>
              <w:pStyle w:val="SIText"/>
            </w:pPr>
            <w:r>
              <w:t>3.</w:t>
            </w:r>
            <w:r w:rsidR="00D661D6">
              <w:t xml:space="preserve"> </w:t>
            </w:r>
            <w:r w:rsidRPr="00F5606D">
              <w:t>Prepare for emergency situations</w:t>
            </w:r>
          </w:p>
        </w:tc>
        <w:tc>
          <w:tcPr>
            <w:tcW w:w="3604" w:type="pct"/>
            <w:shd w:val="clear" w:color="auto" w:fill="auto"/>
          </w:tcPr>
          <w:p w14:paraId="0B58F28C" w14:textId="77777777" w:rsidR="00F5606D" w:rsidRPr="00F5606D" w:rsidRDefault="00F5606D" w:rsidP="00F5606D">
            <w:pPr>
              <w:pStyle w:val="SIText"/>
            </w:pPr>
            <w:r w:rsidRPr="00ED46BC">
              <w:t>3.1</w:t>
            </w:r>
            <w:r w:rsidRPr="00F5606D">
              <w:t xml:space="preserve"> Ensure that provisioning complies with expected operational and emergency requirements</w:t>
            </w:r>
          </w:p>
          <w:p w14:paraId="6E5DAA8A" w14:textId="77777777" w:rsidR="00F5606D" w:rsidRPr="00F5606D" w:rsidRDefault="00F5606D" w:rsidP="00F5606D">
            <w:pPr>
              <w:pStyle w:val="SIText"/>
            </w:pPr>
            <w:r w:rsidRPr="00ED46BC">
              <w:t>3.2</w:t>
            </w:r>
            <w:r w:rsidRPr="00F5606D">
              <w:t xml:space="preserve"> Monitor available provisions and resources to ensure appropriate usage according to operating plan</w:t>
            </w:r>
          </w:p>
          <w:p w14:paraId="1A646D7E" w14:textId="77777777" w:rsidR="00F5606D" w:rsidRPr="00F5606D" w:rsidRDefault="00F5606D" w:rsidP="00F5606D">
            <w:pPr>
              <w:pStyle w:val="SIText"/>
            </w:pPr>
            <w:r w:rsidRPr="00ED46BC">
              <w:t>3.3</w:t>
            </w:r>
            <w:r w:rsidRPr="00F5606D">
              <w:t xml:space="preserve"> Identify personal gaps in remote area survival skills and arrange training prior to departure</w:t>
            </w:r>
          </w:p>
          <w:p w14:paraId="6E2A5D4D" w14:textId="19C929E8" w:rsidR="00F5606D" w:rsidRPr="00F5606D" w:rsidRDefault="00F5606D" w:rsidP="00F5606D">
            <w:pPr>
              <w:pStyle w:val="SIText"/>
            </w:pPr>
            <w:r w:rsidRPr="00ED46BC">
              <w:t>3.4</w:t>
            </w:r>
            <w:r w:rsidRPr="00F5606D">
              <w:t xml:space="preserve"> Ensure emergency management operational plans are applied according to workplace policies</w:t>
            </w:r>
          </w:p>
        </w:tc>
      </w:tr>
      <w:tr w:rsidR="00F5606D" w:rsidRPr="00963A46" w14:paraId="21DFE35F" w14:textId="77777777" w:rsidTr="00860680">
        <w:trPr>
          <w:cantSplit/>
        </w:trPr>
        <w:tc>
          <w:tcPr>
            <w:tcW w:w="1396" w:type="pct"/>
            <w:shd w:val="clear" w:color="auto" w:fill="auto"/>
          </w:tcPr>
          <w:p w14:paraId="36B7AB33" w14:textId="3FCCFA3F" w:rsidR="00F5606D" w:rsidRDefault="00F5606D" w:rsidP="00F5606D">
            <w:pPr>
              <w:pStyle w:val="SIText"/>
            </w:pPr>
            <w:r>
              <w:lastRenderedPageBreak/>
              <w:t>4.</w:t>
            </w:r>
            <w:r w:rsidR="00D661D6">
              <w:t xml:space="preserve"> </w:t>
            </w:r>
            <w:r w:rsidRPr="00ED46BC">
              <w:t>Operate in remote environment</w:t>
            </w:r>
          </w:p>
        </w:tc>
        <w:tc>
          <w:tcPr>
            <w:tcW w:w="3604" w:type="pct"/>
            <w:shd w:val="clear" w:color="auto" w:fill="auto"/>
          </w:tcPr>
          <w:p w14:paraId="0A48182F" w14:textId="77777777" w:rsidR="00F5606D" w:rsidRPr="00F5606D" w:rsidRDefault="00F5606D" w:rsidP="00F5606D">
            <w:pPr>
              <w:pStyle w:val="SIText"/>
            </w:pPr>
            <w:r w:rsidRPr="00ED46BC">
              <w:t>4.1</w:t>
            </w:r>
            <w:r w:rsidRPr="00F5606D">
              <w:t xml:space="preserve"> Complete activities according to instructions within time schedules according to work instructions</w:t>
            </w:r>
          </w:p>
          <w:p w14:paraId="0AD47953" w14:textId="77777777" w:rsidR="00F5606D" w:rsidRPr="00F5606D" w:rsidRDefault="00F5606D" w:rsidP="00F5606D">
            <w:pPr>
              <w:pStyle w:val="SIText"/>
            </w:pPr>
            <w:r w:rsidRPr="00ED46BC">
              <w:t>4.2</w:t>
            </w:r>
            <w:r w:rsidRPr="00F5606D">
              <w:t xml:space="preserve"> Use appropriate skills to modify the living environment according to prevailing conditions</w:t>
            </w:r>
          </w:p>
          <w:p w14:paraId="143F2C1D" w14:textId="370A74A2" w:rsidR="00F5606D" w:rsidRPr="00F5606D" w:rsidRDefault="00F5606D" w:rsidP="00F5606D">
            <w:pPr>
              <w:pStyle w:val="SIText"/>
            </w:pPr>
            <w:r w:rsidRPr="00ED46BC">
              <w:t>4.3</w:t>
            </w:r>
            <w:r w:rsidRPr="00F5606D">
              <w:t xml:space="preserve"> Carry out activities in remote situations </w:t>
            </w:r>
            <w:r>
              <w:t>according to</w:t>
            </w:r>
            <w:r w:rsidRPr="00F5606D">
              <w:t xml:space="preserve"> prescribed plans and procedures</w:t>
            </w:r>
          </w:p>
          <w:p w14:paraId="568C0889" w14:textId="77777777" w:rsidR="00F5606D" w:rsidRPr="00F5606D" w:rsidRDefault="00F5606D" w:rsidP="00F5606D">
            <w:pPr>
              <w:pStyle w:val="SIText"/>
            </w:pPr>
            <w:r>
              <w:t xml:space="preserve">4.4 Use appropriate technologies to maintain </w:t>
            </w:r>
            <w:r w:rsidRPr="00F5606D">
              <w:t>communication according to workplace procedures</w:t>
            </w:r>
          </w:p>
          <w:p w14:paraId="55304BDB" w14:textId="2551AA57" w:rsidR="00F5606D" w:rsidRPr="00F5606D" w:rsidRDefault="00F5606D" w:rsidP="00F5606D">
            <w:pPr>
              <w:pStyle w:val="SIText"/>
            </w:pPr>
            <w:r w:rsidRPr="00ED46BC">
              <w:t>4.</w:t>
            </w:r>
            <w:r>
              <w:t>5</w:t>
            </w:r>
            <w:r w:rsidRPr="00F5606D">
              <w:t xml:space="preserve"> Handle emergency situations according to prescribed plans and procedures</w:t>
            </w:r>
          </w:p>
          <w:p w14:paraId="3F2FA529" w14:textId="37DE6E58" w:rsidR="00F5606D" w:rsidRPr="00ED46BC" w:rsidRDefault="00F5606D">
            <w:pPr>
              <w:pStyle w:val="SIText"/>
            </w:pPr>
            <w:r w:rsidRPr="00ED46BC">
              <w:t>4.</w:t>
            </w:r>
            <w:r>
              <w:t xml:space="preserve">6 Comply with </w:t>
            </w:r>
            <w:r w:rsidR="001542BA">
              <w:t xml:space="preserve">workplace </w:t>
            </w:r>
            <w:r w:rsidRPr="00ED46BC">
              <w:t>reporting procedures on return to base</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20AF4662" w:rsidR="00F1480E" w:rsidRPr="000754EC" w:rsidRDefault="005F771F" w:rsidP="000754EC">
            <w:pPr>
              <w:pStyle w:val="SIHeading2"/>
            </w:pPr>
            <w:r>
              <w:br w:type="page"/>
            </w:r>
            <w:r w:rsidR="00FD557D" w:rsidRPr="00041E59">
              <w:t>F</w:t>
            </w:r>
            <w:r w:rsidR="00FD557D"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5606D" w:rsidRPr="00336FCA" w:rsidDel="00423CB2" w14:paraId="7E89E6AA" w14:textId="77777777" w:rsidTr="00860680">
        <w:tc>
          <w:tcPr>
            <w:tcW w:w="1396" w:type="pct"/>
          </w:tcPr>
          <w:p w14:paraId="7F7FBEA7" w14:textId="625192ED" w:rsidR="00F5606D" w:rsidRPr="00F5606D" w:rsidRDefault="00F5606D" w:rsidP="00F5606D">
            <w:pPr>
              <w:pStyle w:val="SIText"/>
            </w:pPr>
            <w:r>
              <w:t>Reading</w:t>
            </w:r>
          </w:p>
        </w:tc>
        <w:tc>
          <w:tcPr>
            <w:tcW w:w="3604" w:type="pct"/>
          </w:tcPr>
          <w:p w14:paraId="7A2F2ACD" w14:textId="03B611B8" w:rsidR="00F5606D" w:rsidRPr="00F5606D" w:rsidRDefault="00F5606D" w:rsidP="00F5606D">
            <w:pPr>
              <w:pStyle w:val="SIBulletList1"/>
            </w:pPr>
            <w:r w:rsidRPr="0072740F">
              <w:t>Reads and interprets symbols and features on maps to determine special awareness</w:t>
            </w:r>
          </w:p>
        </w:tc>
      </w:tr>
      <w:tr w:rsidR="00F5606D" w:rsidRPr="00336FCA" w:rsidDel="00423CB2" w14:paraId="5B7B5B74" w14:textId="77777777" w:rsidTr="009C59B9">
        <w:tc>
          <w:tcPr>
            <w:tcW w:w="1396" w:type="pct"/>
          </w:tcPr>
          <w:p w14:paraId="0B63130E" w14:textId="74547CD7" w:rsidR="00F5606D" w:rsidRPr="00F5606D" w:rsidRDefault="00F5606D" w:rsidP="00F5606D">
            <w:pPr>
              <w:pStyle w:val="SIText"/>
            </w:pPr>
            <w:r>
              <w:t>Oral Communication</w:t>
            </w:r>
          </w:p>
        </w:tc>
        <w:tc>
          <w:tcPr>
            <w:tcW w:w="3604" w:type="pct"/>
          </w:tcPr>
          <w:p w14:paraId="62B882B6" w14:textId="6A2D62A7" w:rsidR="00F5606D" w:rsidRPr="00F5606D" w:rsidRDefault="00F5606D" w:rsidP="00F5606D">
            <w:pPr>
              <w:pStyle w:val="SIBulletList1"/>
              <w:rPr>
                <w:rFonts w:eastAsia="Calibri"/>
              </w:rPr>
            </w:pPr>
            <w:r w:rsidRPr="0072740F">
              <w:t xml:space="preserve">Uses clear language and concepts, and tone and pace appropriate for </w:t>
            </w:r>
            <w:r w:rsidRPr="00F5606D">
              <w:t>discussions with supervisor when planning and reporting</w:t>
            </w:r>
          </w:p>
        </w:tc>
      </w:tr>
      <w:tr w:rsidR="00F5606D" w:rsidRPr="00336FCA" w:rsidDel="00423CB2" w14:paraId="26EB2619" w14:textId="77777777" w:rsidTr="009C59B9">
        <w:tc>
          <w:tcPr>
            <w:tcW w:w="1396" w:type="pct"/>
          </w:tcPr>
          <w:p w14:paraId="26705B17" w14:textId="15FEA94E" w:rsidR="00F5606D" w:rsidRPr="00F5606D" w:rsidRDefault="00F5606D" w:rsidP="00F5606D">
            <w:pPr>
              <w:pStyle w:val="SIText"/>
            </w:pPr>
            <w:r>
              <w:t>Learning</w:t>
            </w:r>
          </w:p>
        </w:tc>
        <w:tc>
          <w:tcPr>
            <w:tcW w:w="3604" w:type="pct"/>
          </w:tcPr>
          <w:p w14:paraId="60C2A970" w14:textId="70B98200" w:rsidR="00F5606D" w:rsidRPr="00F5606D" w:rsidRDefault="00F5606D" w:rsidP="00F5606D">
            <w:pPr>
              <w:pStyle w:val="SIBulletList1"/>
              <w:rPr>
                <w:rFonts w:eastAsia="Calibri"/>
              </w:rPr>
            </w:pPr>
            <w:r w:rsidRPr="0072740F">
              <w:t xml:space="preserve">Demonstrates awareness of learning strengths and areas of need </w:t>
            </w:r>
            <w:r w:rsidRPr="00F5606D">
              <w:t>and applies a limited range of learning strategies to developing remote area survival skills</w:t>
            </w:r>
          </w:p>
        </w:tc>
      </w:tr>
      <w:tr w:rsidR="00F5606D" w:rsidRPr="00336FCA" w:rsidDel="00423CB2" w14:paraId="7215E713" w14:textId="77777777" w:rsidTr="009C59B9">
        <w:tc>
          <w:tcPr>
            <w:tcW w:w="1396" w:type="pct"/>
          </w:tcPr>
          <w:p w14:paraId="55A83F1C" w14:textId="4D6C7CE2" w:rsidR="00F5606D" w:rsidRDefault="00F5606D" w:rsidP="00F5606D">
            <w:pPr>
              <w:pStyle w:val="SIText"/>
            </w:pPr>
            <w:r>
              <w:t>Navigate the world of work</w:t>
            </w:r>
          </w:p>
        </w:tc>
        <w:tc>
          <w:tcPr>
            <w:tcW w:w="3604" w:type="pct"/>
          </w:tcPr>
          <w:p w14:paraId="4E54FA02" w14:textId="77777777" w:rsidR="00F5606D" w:rsidRPr="00F5606D" w:rsidRDefault="00F5606D" w:rsidP="00F5606D">
            <w:pPr>
              <w:pStyle w:val="SIBulletList1"/>
            </w:pPr>
            <w:r w:rsidRPr="0072740F">
              <w:t xml:space="preserve">Understands roles and responsibilities for task </w:t>
            </w:r>
            <w:r w:rsidRPr="00F5606D">
              <w:t>and makes basic decisions on work completion parameters</w:t>
            </w:r>
          </w:p>
          <w:p w14:paraId="3289F8AE" w14:textId="2D0808D4" w:rsidR="00F5606D" w:rsidRPr="004C1F8C" w:rsidRDefault="00F5606D" w:rsidP="00F5606D">
            <w:pPr>
              <w:pStyle w:val="SIBulletList1"/>
            </w:pPr>
            <w:r>
              <w:t>Complies with explicit policies and procedures</w:t>
            </w:r>
          </w:p>
        </w:tc>
      </w:tr>
      <w:tr w:rsidR="00F5606D" w:rsidRPr="00336FCA" w:rsidDel="00423CB2" w14:paraId="508C00DD" w14:textId="77777777" w:rsidTr="009C59B9">
        <w:tc>
          <w:tcPr>
            <w:tcW w:w="1396" w:type="pct"/>
          </w:tcPr>
          <w:p w14:paraId="5D7EF75B" w14:textId="567885FF" w:rsidR="00F5606D" w:rsidRDefault="00F5606D" w:rsidP="00F5606D">
            <w:pPr>
              <w:pStyle w:val="SIText"/>
            </w:pPr>
            <w:r>
              <w:t>Interact with others</w:t>
            </w:r>
          </w:p>
        </w:tc>
        <w:tc>
          <w:tcPr>
            <w:tcW w:w="3604" w:type="pct"/>
          </w:tcPr>
          <w:p w14:paraId="6AE439D8" w14:textId="29CF2327" w:rsidR="00F5606D" w:rsidRPr="004C1F8C" w:rsidRDefault="00F5606D" w:rsidP="00F5606D">
            <w:pPr>
              <w:pStyle w:val="SIBulletList1"/>
            </w:pPr>
            <w:r w:rsidRPr="0072740F">
              <w:t>Selects and uses appropriate conventions and protocols when communicating with co-workers</w:t>
            </w:r>
          </w:p>
        </w:tc>
      </w:tr>
      <w:tr w:rsidR="00F5606D" w:rsidRPr="00336FCA" w:rsidDel="00423CB2" w14:paraId="3C397A16" w14:textId="77777777" w:rsidTr="009C59B9">
        <w:tc>
          <w:tcPr>
            <w:tcW w:w="1396" w:type="pct"/>
          </w:tcPr>
          <w:p w14:paraId="204FB0AD" w14:textId="0A8445F2" w:rsidR="00F5606D" w:rsidRDefault="00F5606D" w:rsidP="00F5606D">
            <w:pPr>
              <w:pStyle w:val="SIText"/>
            </w:pPr>
            <w:r>
              <w:t>Get the work done</w:t>
            </w:r>
          </w:p>
        </w:tc>
        <w:tc>
          <w:tcPr>
            <w:tcW w:w="3604" w:type="pct"/>
          </w:tcPr>
          <w:p w14:paraId="0F7BFFED" w14:textId="77777777" w:rsidR="00F5606D" w:rsidRPr="00F5606D" w:rsidRDefault="00F5606D" w:rsidP="00F5606D">
            <w:pPr>
              <w:pStyle w:val="SIBulletList1"/>
            </w:pPr>
            <w:r w:rsidRPr="0072740F">
              <w:t xml:space="preserve">Plans and implements </w:t>
            </w:r>
            <w:r w:rsidRPr="00F5606D">
              <w:t>routine tasks and workload making limited decisions on sequencing, timing and collaboration, seeks assistance in setting priorities</w:t>
            </w:r>
          </w:p>
          <w:p w14:paraId="2C39B09E" w14:textId="2315E49E" w:rsidR="00F5606D" w:rsidRPr="00DE45F0" w:rsidRDefault="00F5606D" w:rsidP="00F5606D">
            <w:pPr>
              <w:pStyle w:val="SIBulletList1"/>
            </w:pPr>
            <w:r w:rsidRPr="0072740F">
              <w:t>Responds to predictable routine problems and implement</w:t>
            </w:r>
            <w:r>
              <w:t xml:space="preserve">s standard </w:t>
            </w:r>
            <w:r w:rsidRPr="0072740F">
              <w:t>solutions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F5606D" w14:paraId="0DAC76F2" w14:textId="77777777" w:rsidTr="00F33FF2">
        <w:tc>
          <w:tcPr>
            <w:tcW w:w="1028" w:type="pct"/>
          </w:tcPr>
          <w:p w14:paraId="133C2290" w14:textId="6B3BFE28" w:rsidR="00F5606D" w:rsidRPr="00F5606D" w:rsidRDefault="00F5606D" w:rsidP="00694373">
            <w:pPr>
              <w:pStyle w:val="SIText"/>
            </w:pPr>
            <w:r w:rsidRPr="00C96F5F">
              <w:t>AHCWRK</w:t>
            </w:r>
            <w:r w:rsidR="00A1311A">
              <w:t>3XX</w:t>
            </w:r>
            <w:r w:rsidRPr="00C96F5F">
              <w:t xml:space="preserve"> Operate in isolated and remote situations</w:t>
            </w:r>
          </w:p>
        </w:tc>
        <w:tc>
          <w:tcPr>
            <w:tcW w:w="1105" w:type="pct"/>
          </w:tcPr>
          <w:p w14:paraId="050696DA" w14:textId="3118F782" w:rsidR="00F5606D" w:rsidRPr="00F5606D" w:rsidRDefault="00F5606D" w:rsidP="00F5606D">
            <w:pPr>
              <w:pStyle w:val="SIText"/>
            </w:pPr>
            <w:r w:rsidRPr="00C96F5F">
              <w:t>AHCWRK203A Operate in isolated and remote situations</w:t>
            </w:r>
          </w:p>
        </w:tc>
        <w:tc>
          <w:tcPr>
            <w:tcW w:w="1251" w:type="pct"/>
          </w:tcPr>
          <w:p w14:paraId="027BBABA" w14:textId="77777777" w:rsidR="00F5606D" w:rsidRPr="00F5606D" w:rsidRDefault="00F5606D" w:rsidP="00F5606D">
            <w:pPr>
              <w:pStyle w:val="SIText"/>
            </w:pPr>
            <w:r>
              <w:t>Updated to meet Standards for Training Packages</w:t>
            </w:r>
          </w:p>
          <w:p w14:paraId="13A928CF" w14:textId="77777777" w:rsidR="00F5606D" w:rsidRDefault="00F5606D" w:rsidP="00F5606D">
            <w:pPr>
              <w:pStyle w:val="SIText"/>
            </w:pPr>
            <w:r>
              <w:t>Minor changes to Performance Criteria for clarity</w:t>
            </w:r>
          </w:p>
          <w:p w14:paraId="68D5E6EF" w14:textId="2A06DA85" w:rsidR="00A1311A" w:rsidRPr="00F5606D" w:rsidRDefault="00A1311A" w:rsidP="00F5606D">
            <w:pPr>
              <w:pStyle w:val="SIText"/>
            </w:pPr>
            <w:r>
              <w:t>Recoded to higher AQF level</w:t>
            </w:r>
          </w:p>
        </w:tc>
        <w:tc>
          <w:tcPr>
            <w:tcW w:w="1616" w:type="pct"/>
          </w:tcPr>
          <w:p w14:paraId="71095270" w14:textId="23471882" w:rsidR="00F5606D" w:rsidRPr="00F5606D" w:rsidRDefault="00F5606D" w:rsidP="00F5606D">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A73033" w:rsidRPr="00E91BFF" w14:paraId="5A4BFACE" w14:textId="77777777" w:rsidTr="00860680">
        <w:trPr>
          <w:tblHeader/>
        </w:trPr>
        <w:tc>
          <w:tcPr>
            <w:tcW w:w="1478" w:type="pct"/>
            <w:shd w:val="clear" w:color="auto" w:fill="auto"/>
          </w:tcPr>
          <w:p w14:paraId="4783141E" w14:textId="24A604BD" w:rsidR="00A73033" w:rsidRPr="00A73033" w:rsidRDefault="00A73033" w:rsidP="00A73033">
            <w:pPr>
              <w:pStyle w:val="SIUnittitle"/>
            </w:pPr>
            <w:r w:rsidRPr="002C55E9">
              <w:lastRenderedPageBreak/>
              <w:t>T</w:t>
            </w:r>
            <w:r w:rsidRPr="00A73033">
              <w:t>ITLE</w:t>
            </w:r>
          </w:p>
        </w:tc>
        <w:tc>
          <w:tcPr>
            <w:tcW w:w="3522" w:type="pct"/>
            <w:shd w:val="clear" w:color="auto" w:fill="auto"/>
          </w:tcPr>
          <w:p w14:paraId="0AA796AC" w14:textId="77923CB7" w:rsidR="00A73033" w:rsidRPr="00A73033" w:rsidRDefault="00A73033" w:rsidP="001542BA">
            <w:pPr>
              <w:pStyle w:val="SIUnittitle"/>
            </w:pPr>
            <w:r w:rsidRPr="00F56827">
              <w:t xml:space="preserve">Assessment requirements for </w:t>
            </w:r>
            <w:r w:rsidRPr="00A73033">
              <w:t>AHCWRK</w:t>
            </w:r>
            <w:r w:rsidR="00C47C15">
              <w:t>3XX</w:t>
            </w:r>
            <w:r w:rsidRPr="00A73033">
              <w:t xml:space="preserve"> Operate in isolated and remote situations </w:t>
            </w:r>
          </w:p>
        </w:tc>
      </w:tr>
      <w:tr w:rsidR="00A73033" w:rsidRPr="00A55106" w14:paraId="7E8892DD" w14:textId="77777777" w:rsidTr="00860680">
        <w:trPr>
          <w:tblHeader/>
        </w:trPr>
        <w:tc>
          <w:tcPr>
            <w:tcW w:w="5000" w:type="pct"/>
            <w:gridSpan w:val="2"/>
            <w:shd w:val="clear" w:color="auto" w:fill="auto"/>
          </w:tcPr>
          <w:p w14:paraId="2FE1A520" w14:textId="3F2B6787" w:rsidR="00A73033" w:rsidRPr="00A73033" w:rsidRDefault="00A73033" w:rsidP="00A73033">
            <w:pPr>
              <w:pStyle w:val="SIHeading2"/>
            </w:pPr>
            <w:r>
              <w:t>Performance E</w:t>
            </w:r>
            <w:r w:rsidRPr="00A73033">
              <w:t>vidence</w:t>
            </w:r>
          </w:p>
        </w:tc>
      </w:tr>
      <w:tr w:rsidR="00A73033" w:rsidRPr="00067E1C" w14:paraId="6E913637" w14:textId="77777777" w:rsidTr="00860680">
        <w:tc>
          <w:tcPr>
            <w:tcW w:w="5000" w:type="pct"/>
            <w:gridSpan w:val="2"/>
            <w:shd w:val="clear" w:color="auto" w:fill="auto"/>
          </w:tcPr>
          <w:p w14:paraId="04B20FF9" w14:textId="47E21A17" w:rsidR="00A73033" w:rsidRPr="00A73033" w:rsidRDefault="00A73033" w:rsidP="00A73033">
            <w:pPr>
              <w:pStyle w:val="SIText"/>
            </w:pPr>
            <w:r>
              <w:t>An individual demonstrating competency must satisfy all of the</w:t>
            </w:r>
            <w:r w:rsidRPr="00A73033">
              <w:t xml:space="preserve"> elements and performance criteria in this unit.</w:t>
            </w:r>
            <w:r w:rsidR="00D661D6">
              <w:t xml:space="preserve"> </w:t>
            </w:r>
            <w:r>
              <w:t xml:space="preserve">There must be evidence that on at least one occasion the individual has demonstrated that they have </w:t>
            </w:r>
            <w:r w:rsidRPr="00A73033">
              <w:t>operated in an isolated and remote environment including:</w:t>
            </w:r>
          </w:p>
          <w:p w14:paraId="3E1B8877" w14:textId="77777777" w:rsidR="00A73033" w:rsidRPr="00A73033" w:rsidRDefault="00A73033" w:rsidP="00A73033">
            <w:pPr>
              <w:pStyle w:val="SIBulletList1"/>
            </w:pPr>
            <w:r w:rsidRPr="001E2CE7">
              <w:t>plan</w:t>
            </w:r>
            <w:r w:rsidRPr="00A73033">
              <w:t>ned and prepared for operating in remote environments in conjunction with supervisor</w:t>
            </w:r>
          </w:p>
          <w:p w14:paraId="3C055AC7" w14:textId="181EBA0B" w:rsidR="00516A52" w:rsidRDefault="00516A52" w:rsidP="00A73033">
            <w:pPr>
              <w:pStyle w:val="SIBulletList1"/>
            </w:pPr>
            <w:r>
              <w:t>conducted a risk assessment for health, safety and environmental hazards for remote location</w:t>
            </w:r>
          </w:p>
          <w:p w14:paraId="414F223C" w14:textId="77777777" w:rsidR="00A73033" w:rsidRPr="00A73033" w:rsidRDefault="00A73033" w:rsidP="00A73033">
            <w:pPr>
              <w:pStyle w:val="SIBulletList1"/>
            </w:pPr>
            <w:r w:rsidRPr="001E2CE7">
              <w:t>prepare</w:t>
            </w:r>
            <w:r w:rsidRPr="00A73033">
              <w:t>d for emergency situations</w:t>
            </w:r>
          </w:p>
          <w:p w14:paraId="13E12BF2" w14:textId="77777777" w:rsidR="00A73033" w:rsidRPr="00A73033" w:rsidRDefault="00A73033" w:rsidP="00A73033">
            <w:pPr>
              <w:pStyle w:val="SIBulletList1"/>
            </w:pPr>
            <w:r w:rsidRPr="001E2CE7">
              <w:t>source</w:t>
            </w:r>
            <w:r w:rsidRPr="00A73033">
              <w:t>d and interpreted maps of the remote area</w:t>
            </w:r>
          </w:p>
          <w:p w14:paraId="405F95B7" w14:textId="77777777" w:rsidR="00A73033" w:rsidRPr="00A73033" w:rsidRDefault="00A73033" w:rsidP="00A73033">
            <w:pPr>
              <w:pStyle w:val="SIBulletList1"/>
            </w:pPr>
            <w:r>
              <w:t xml:space="preserve">conducted work activities </w:t>
            </w:r>
            <w:r w:rsidRPr="00A73033">
              <w:t>safely in a remote environment</w:t>
            </w:r>
          </w:p>
          <w:p w14:paraId="2DFF6D2A" w14:textId="58FD17DF" w:rsidR="00A73033" w:rsidRPr="00A73033" w:rsidRDefault="00A73033" w:rsidP="00A73033">
            <w:pPr>
              <w:pStyle w:val="SIBulletList1"/>
            </w:pPr>
            <w:r w:rsidRPr="001E2CE7">
              <w:t>implement</w:t>
            </w:r>
            <w:r w:rsidRPr="00A73033">
              <w:t xml:space="preserve">ed workplace </w:t>
            </w:r>
            <w:r w:rsidR="001542BA">
              <w:t xml:space="preserve">communication </w:t>
            </w:r>
            <w:r w:rsidRPr="00A73033">
              <w:t>procedures to notify location, activities and travel</w:t>
            </w:r>
            <w:r w:rsidR="001542BA">
              <w:t xml:space="preserve"> to appropriate personnel</w:t>
            </w:r>
          </w:p>
          <w:p w14:paraId="3B0BBC60" w14:textId="754B1AA5" w:rsidR="00A73033" w:rsidRPr="00A73033" w:rsidRDefault="00A73033" w:rsidP="00A73033">
            <w:pPr>
              <w:pStyle w:val="SIBulletList1"/>
            </w:pPr>
            <w:r w:rsidRPr="001E2CE7">
              <w:t>prepare</w:t>
            </w:r>
            <w:r w:rsidRPr="00A73033">
              <w:t xml:space="preserve">d </w:t>
            </w:r>
            <w:r w:rsidR="00516A52">
              <w:t xml:space="preserve">and monitored </w:t>
            </w:r>
            <w:r w:rsidRPr="00A73033">
              <w:t>provisions and resources for essential and emergency needs</w:t>
            </w:r>
          </w:p>
          <w:p w14:paraId="5D4A1EA8" w14:textId="77777777" w:rsidR="00516A52" w:rsidRDefault="00A73033" w:rsidP="00A73033">
            <w:pPr>
              <w:pStyle w:val="SIBulletList1"/>
            </w:pPr>
            <w:r w:rsidRPr="001E2CE7">
              <w:t>use</w:t>
            </w:r>
            <w:r w:rsidRPr="00A73033">
              <w:t>d bushcraft skills to modify the living environment and reduced risks</w:t>
            </w:r>
          </w:p>
          <w:p w14:paraId="1ECE61F8" w14:textId="4ECD19D1" w:rsidR="00A73033" w:rsidRPr="00A73033" w:rsidRDefault="001542BA" w:rsidP="00A73033">
            <w:pPr>
              <w:pStyle w:val="SIBulletList1"/>
            </w:pPr>
            <w:r>
              <w:t>maintained records according to workplace procedures</w:t>
            </w:r>
            <w:bookmarkStart w:id="0" w:name="_GoBack"/>
            <w:bookmarkEnd w:id="0"/>
            <w:r w:rsidR="00A73033" w:rsidRPr="00A73033">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77777777"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2D5DF3F4" w14:textId="77777777" w:rsidR="00F5606D" w:rsidRPr="00F5606D" w:rsidRDefault="00F5606D" w:rsidP="00F5606D">
            <w:pPr>
              <w:pStyle w:val="SIBulletList1"/>
            </w:pPr>
            <w:r>
              <w:t>p</w:t>
            </w:r>
            <w:r w:rsidRPr="00F5606D">
              <w:t>lanning and preparations required for working in isolated environments</w:t>
            </w:r>
          </w:p>
          <w:p w14:paraId="0864B036" w14:textId="2B0D89C8" w:rsidR="00F5606D" w:rsidRPr="00F5606D" w:rsidRDefault="00F5606D" w:rsidP="00F5606D">
            <w:pPr>
              <w:pStyle w:val="SIBulletList1"/>
            </w:pPr>
            <w:r w:rsidRPr="001E2CE7">
              <w:t xml:space="preserve">map reading and navigation </w:t>
            </w:r>
            <w:r w:rsidRPr="00F5606D">
              <w:t>skills</w:t>
            </w:r>
            <w:r w:rsidR="00761DD1">
              <w:t>,</w:t>
            </w:r>
            <w:r w:rsidRPr="00F5606D">
              <w:t xml:space="preserve"> including:</w:t>
            </w:r>
          </w:p>
          <w:p w14:paraId="19C8AF8E" w14:textId="77777777" w:rsidR="00F5606D" w:rsidRPr="00F5606D" w:rsidRDefault="00F5606D" w:rsidP="00F5606D">
            <w:pPr>
              <w:pStyle w:val="SIBulletList2"/>
            </w:pPr>
            <w:r w:rsidRPr="001E2CE7">
              <w:t>direction finding</w:t>
            </w:r>
            <w:r w:rsidRPr="00F5606D">
              <w:t>; GPS, compass, astronavigation</w:t>
            </w:r>
          </w:p>
          <w:p w14:paraId="4303AD4F" w14:textId="77777777" w:rsidR="00F5606D" w:rsidRPr="00F5606D" w:rsidRDefault="00F5606D" w:rsidP="00F5606D">
            <w:pPr>
              <w:pStyle w:val="SIBulletList2"/>
            </w:pPr>
            <w:r w:rsidRPr="001E2CE7">
              <w:t>local topography</w:t>
            </w:r>
          </w:p>
          <w:p w14:paraId="7F1C778D" w14:textId="77777777" w:rsidR="00F5606D" w:rsidRPr="00F5606D" w:rsidRDefault="00F5606D" w:rsidP="00F5606D">
            <w:pPr>
              <w:pStyle w:val="SIBulletList2"/>
            </w:pPr>
            <w:r w:rsidRPr="001E2CE7">
              <w:t>habita</w:t>
            </w:r>
            <w:r w:rsidRPr="00F5606D">
              <w:t>tion</w:t>
            </w:r>
          </w:p>
          <w:p w14:paraId="022363D9" w14:textId="77777777" w:rsidR="00F5606D" w:rsidRPr="00F5606D" w:rsidRDefault="00F5606D" w:rsidP="00F5606D">
            <w:pPr>
              <w:pStyle w:val="SIBulletList2"/>
            </w:pPr>
            <w:r>
              <w:t>geographic indicator</w:t>
            </w:r>
          </w:p>
          <w:p w14:paraId="22BA269E" w14:textId="1BC66528" w:rsidR="00F5606D" w:rsidRPr="00F5606D" w:rsidRDefault="00C47C15" w:rsidP="00F5606D">
            <w:pPr>
              <w:pStyle w:val="SIBulletList1"/>
            </w:pPr>
            <w:r>
              <w:t xml:space="preserve">basic </w:t>
            </w:r>
            <w:r w:rsidR="00F5606D" w:rsidRPr="001E2CE7">
              <w:t xml:space="preserve">survival </w:t>
            </w:r>
            <w:r w:rsidR="00F5606D" w:rsidRPr="00F5606D">
              <w:t>and bushcraft skills to maintain human needs in survival situations</w:t>
            </w:r>
            <w:r w:rsidR="00761DD1">
              <w:t>,</w:t>
            </w:r>
            <w:r w:rsidR="00F5606D" w:rsidRPr="00F5606D">
              <w:t xml:space="preserve"> including:</w:t>
            </w:r>
          </w:p>
          <w:p w14:paraId="5A684A60" w14:textId="77777777" w:rsidR="00F5606D" w:rsidRPr="00F5606D" w:rsidRDefault="00F5606D" w:rsidP="00F5606D">
            <w:pPr>
              <w:pStyle w:val="SIBulletList2"/>
            </w:pPr>
            <w:r w:rsidRPr="001E2CE7">
              <w:t>making a fire</w:t>
            </w:r>
          </w:p>
          <w:p w14:paraId="6DFA2096" w14:textId="77777777" w:rsidR="00F5606D" w:rsidRPr="00F5606D" w:rsidRDefault="00F5606D" w:rsidP="00F5606D">
            <w:pPr>
              <w:pStyle w:val="SIBulletList2"/>
            </w:pPr>
            <w:r w:rsidRPr="001E2CE7">
              <w:t>cooking</w:t>
            </w:r>
          </w:p>
          <w:p w14:paraId="1B5A821E" w14:textId="0465118E" w:rsidR="00F5606D" w:rsidRPr="00F5606D" w:rsidRDefault="00F5606D" w:rsidP="00F5606D">
            <w:pPr>
              <w:pStyle w:val="SIBulletList2"/>
            </w:pPr>
            <w:r w:rsidRPr="001E2CE7">
              <w:t>distress signalling</w:t>
            </w:r>
          </w:p>
          <w:p w14:paraId="686E6693" w14:textId="77777777" w:rsidR="00C47C15" w:rsidRDefault="00C47C15" w:rsidP="00D661D6">
            <w:pPr>
              <w:pStyle w:val="SIBulletList2"/>
            </w:pPr>
            <w:r>
              <w:t xml:space="preserve">basic </w:t>
            </w:r>
            <w:r w:rsidR="00F5606D" w:rsidRPr="001E2CE7">
              <w:t xml:space="preserve">rope skills </w:t>
            </w:r>
            <w:r w:rsidR="00F5606D" w:rsidRPr="00F5606D">
              <w:t xml:space="preserve">and useful knots </w:t>
            </w:r>
          </w:p>
          <w:p w14:paraId="4923A149" w14:textId="77777777" w:rsidR="00F5606D" w:rsidRPr="00F5606D" w:rsidRDefault="00F5606D">
            <w:pPr>
              <w:pStyle w:val="SIBulletList1"/>
            </w:pPr>
            <w:r>
              <w:t xml:space="preserve">personal protective </w:t>
            </w:r>
            <w:r w:rsidRPr="00F5606D">
              <w:t>clothing requirements for adverse weather conditions</w:t>
            </w:r>
          </w:p>
          <w:p w14:paraId="76EF5358" w14:textId="77777777" w:rsidR="00F5606D" w:rsidRPr="00F5606D" w:rsidRDefault="00F5606D" w:rsidP="00F5606D">
            <w:pPr>
              <w:pStyle w:val="SIBulletList1"/>
            </w:pPr>
            <w:r>
              <w:t xml:space="preserve">basic </w:t>
            </w:r>
            <w:r w:rsidRPr="00F5606D">
              <w:t>first aid procedures for common injuries</w:t>
            </w:r>
          </w:p>
          <w:p w14:paraId="565D5167" w14:textId="77777777" w:rsidR="00F5606D" w:rsidRPr="00F5606D" w:rsidRDefault="00F5606D" w:rsidP="00F5606D">
            <w:pPr>
              <w:pStyle w:val="SIBulletList1"/>
            </w:pPr>
            <w:r w:rsidRPr="001E2CE7">
              <w:t>emergency vehicle and mechanical equipment repair</w:t>
            </w:r>
          </w:p>
          <w:p w14:paraId="5508AEC3" w14:textId="01ABE703" w:rsidR="00F5606D" w:rsidRPr="00F5606D" w:rsidRDefault="00F5606D" w:rsidP="00F5606D">
            <w:pPr>
              <w:pStyle w:val="SIBulletList1"/>
            </w:pPr>
            <w:r w:rsidRPr="001E2CE7">
              <w:t xml:space="preserve">communication </w:t>
            </w:r>
            <w:r w:rsidRPr="00F5606D">
              <w:t>procedures and operation and maintenance of communications equipment</w:t>
            </w:r>
            <w:r w:rsidR="00761DD1">
              <w:t>,</w:t>
            </w:r>
            <w:r w:rsidRPr="00F5606D">
              <w:t xml:space="preserve"> including:</w:t>
            </w:r>
          </w:p>
          <w:p w14:paraId="49256095" w14:textId="77777777" w:rsidR="00F5606D" w:rsidRPr="00F5606D" w:rsidRDefault="00F5606D" w:rsidP="00F5606D">
            <w:pPr>
              <w:pStyle w:val="SIBulletList2"/>
            </w:pPr>
            <w:r w:rsidRPr="001E2CE7">
              <w:t>field communications by two-way</w:t>
            </w:r>
            <w:r w:rsidRPr="00F5606D">
              <w:t xml:space="preserve"> radio</w:t>
            </w:r>
          </w:p>
          <w:p w14:paraId="39F703A1" w14:textId="77777777" w:rsidR="00F5606D" w:rsidRPr="00F5606D" w:rsidRDefault="00F5606D" w:rsidP="00F5606D">
            <w:pPr>
              <w:pStyle w:val="SIBulletList2"/>
            </w:pPr>
            <w:r w:rsidRPr="001E2CE7">
              <w:t>satellite telephony</w:t>
            </w:r>
          </w:p>
          <w:p w14:paraId="5453069D" w14:textId="77777777" w:rsidR="00F5606D" w:rsidRPr="00F5606D" w:rsidRDefault="00F5606D" w:rsidP="00F5606D">
            <w:pPr>
              <w:pStyle w:val="SIBulletList2"/>
            </w:pPr>
            <w:r w:rsidRPr="001E2CE7">
              <w:t>HF</w:t>
            </w:r>
            <w:r w:rsidRPr="00F5606D">
              <w:t xml:space="preserve"> radio</w:t>
            </w:r>
          </w:p>
          <w:p w14:paraId="103187AF" w14:textId="77777777" w:rsidR="00F5606D" w:rsidRPr="00F5606D" w:rsidRDefault="00F5606D" w:rsidP="00F5606D">
            <w:pPr>
              <w:pStyle w:val="SIBulletList1"/>
            </w:pPr>
            <w:r w:rsidRPr="001E2CE7">
              <w:t>work health and safety in the context of work in isolated and remote situations</w:t>
            </w:r>
          </w:p>
          <w:p w14:paraId="5B02A910" w14:textId="572F0576" w:rsidR="00F1480E" w:rsidRPr="000754EC" w:rsidRDefault="00F5606D" w:rsidP="00F5606D">
            <w:pPr>
              <w:pStyle w:val="SIBulletList1"/>
            </w:pPr>
            <w:r w:rsidRPr="001E2CE7">
              <w:t>environmental impacts of work in isolated and remote situations</w:t>
            </w:r>
            <w:r w:rsidRPr="00F5606D">
              <w:t xml:space="preserve"> including weather patterns and indicators.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9031088" w:rsidR="00A702DD" w:rsidRDefault="00A702DD" w:rsidP="00A702DD">
            <w:pPr>
              <w:pStyle w:val="SIText"/>
            </w:pPr>
            <w:r>
              <w:t xml:space="preserve">Assessment of skills must take place under the following conditions: </w:t>
            </w:r>
          </w:p>
          <w:p w14:paraId="75808333" w14:textId="77777777" w:rsidR="00F5606D" w:rsidRPr="00F5606D" w:rsidRDefault="00F5606D" w:rsidP="00F5606D">
            <w:pPr>
              <w:pStyle w:val="SIBulletList1"/>
            </w:pPr>
            <w:r>
              <w:t>physical conditions:</w:t>
            </w:r>
          </w:p>
          <w:p w14:paraId="705CA856" w14:textId="77777777" w:rsidR="00F5606D" w:rsidRPr="00F5606D" w:rsidRDefault="00F5606D" w:rsidP="00F5606D">
            <w:pPr>
              <w:pStyle w:val="SIBulletList2"/>
              <w:rPr>
                <w:rFonts w:eastAsia="Calibri"/>
              </w:rPr>
            </w:pPr>
            <w:r>
              <w:t>skills must be demonstrated in a</w:t>
            </w:r>
            <w:r w:rsidRPr="00F5606D">
              <w:t>n isolated environment or an environment that accurately represents workplace conditions</w:t>
            </w:r>
          </w:p>
          <w:p w14:paraId="2DB2CD7A" w14:textId="77777777" w:rsidR="00F5606D" w:rsidRPr="00F5606D" w:rsidRDefault="00F5606D" w:rsidP="00F5606D">
            <w:pPr>
              <w:pStyle w:val="SIBulletList1"/>
            </w:pPr>
            <w:r>
              <w:t>resources, equipment and materials:</w:t>
            </w:r>
          </w:p>
          <w:p w14:paraId="3F8179E4" w14:textId="77777777" w:rsidR="00F5606D" w:rsidRPr="00F5606D" w:rsidRDefault="00F5606D" w:rsidP="00F5606D">
            <w:pPr>
              <w:pStyle w:val="SIBulletList2"/>
              <w:rPr>
                <w:rFonts w:eastAsia="Calibri"/>
              </w:rPr>
            </w:pPr>
            <w:r w:rsidRPr="00F5606D">
              <w:rPr>
                <w:rFonts w:eastAsia="Calibri"/>
              </w:rPr>
              <w:t>provisions and resources required for an isolated worksite</w:t>
            </w:r>
          </w:p>
          <w:p w14:paraId="652DFEFC" w14:textId="77777777" w:rsidR="00F5606D" w:rsidRPr="00F5606D" w:rsidRDefault="00F5606D" w:rsidP="00F5606D">
            <w:pPr>
              <w:pStyle w:val="SIBulletList2"/>
              <w:rPr>
                <w:rFonts w:eastAsia="Calibri"/>
              </w:rPr>
            </w:pPr>
            <w:r>
              <w:t>use of specific tools</w:t>
            </w:r>
            <w:r w:rsidRPr="00F5606D">
              <w:t xml:space="preserve"> and equipment for work activities appropriate for the context</w:t>
            </w:r>
          </w:p>
          <w:p w14:paraId="309BFD9D" w14:textId="77777777" w:rsidR="00F5606D" w:rsidRPr="00F5606D" w:rsidRDefault="00F5606D" w:rsidP="00F5606D">
            <w:pPr>
              <w:pStyle w:val="SIBulletList2"/>
              <w:rPr>
                <w:rFonts w:eastAsia="Calibri"/>
              </w:rPr>
            </w:pPr>
            <w:r>
              <w:lastRenderedPageBreak/>
              <w:t xml:space="preserve">use of </w:t>
            </w:r>
            <w:r w:rsidRPr="00F5606D">
              <w:t>personal protective equipment for use in isolated working environments</w:t>
            </w:r>
          </w:p>
          <w:p w14:paraId="6B5D315F" w14:textId="77777777" w:rsidR="00F5606D" w:rsidRPr="00F5606D" w:rsidRDefault="00F5606D" w:rsidP="00F5606D">
            <w:pPr>
              <w:pStyle w:val="SIBulletList1"/>
              <w:rPr>
                <w:rFonts w:eastAsia="Calibri"/>
              </w:rPr>
            </w:pPr>
            <w:r w:rsidRPr="00F5606D">
              <w:rPr>
                <w:rFonts w:eastAsia="Calibri"/>
              </w:rPr>
              <w:t>specifications:</w:t>
            </w:r>
          </w:p>
          <w:p w14:paraId="713BF255" w14:textId="77777777" w:rsidR="00F5606D" w:rsidRPr="00F5606D" w:rsidRDefault="00F5606D" w:rsidP="00F5606D">
            <w:pPr>
              <w:pStyle w:val="SIBulletList2"/>
              <w:rPr>
                <w:rFonts w:eastAsia="Calibri"/>
              </w:rPr>
            </w:pPr>
            <w:r w:rsidRPr="00F5606D">
              <w:rPr>
                <w:rFonts w:eastAsia="Calibri"/>
              </w:rPr>
              <w:t>use of specific workplace documents such as policies, procedures, processes</w:t>
            </w:r>
          </w:p>
          <w:p w14:paraId="23CCAB94" w14:textId="77777777" w:rsidR="00F5606D" w:rsidRPr="00F5606D" w:rsidRDefault="00F5606D" w:rsidP="00F5606D">
            <w:pPr>
              <w:pStyle w:val="SIBulletList2"/>
              <w:rPr>
                <w:rFonts w:eastAsia="Calibri"/>
              </w:rPr>
            </w:pPr>
            <w:r w:rsidRPr="00F5606D">
              <w:rPr>
                <w:rFonts w:eastAsia="Calibri"/>
              </w:rPr>
              <w:t>use of manufacturer’s operating instructions for specific communications and navigational equipment</w:t>
            </w:r>
          </w:p>
          <w:p w14:paraId="730CEEAB" w14:textId="77777777" w:rsidR="00F5606D" w:rsidRPr="00F5606D" w:rsidRDefault="00F5606D" w:rsidP="00F5606D">
            <w:pPr>
              <w:pStyle w:val="SIBulletList2"/>
              <w:rPr>
                <w:rFonts w:eastAsia="Calibri"/>
              </w:rPr>
            </w:pPr>
            <w:r w:rsidRPr="00F5606D">
              <w:rPr>
                <w:rFonts w:eastAsia="Calibri"/>
              </w:rPr>
              <w:t>use of workplace instructions and job specifications</w:t>
            </w:r>
          </w:p>
          <w:p w14:paraId="522D1D37" w14:textId="77777777" w:rsidR="00F5606D" w:rsidRPr="00F5606D" w:rsidRDefault="00F5606D" w:rsidP="00F5606D">
            <w:pPr>
              <w:pStyle w:val="SIBulletList1"/>
            </w:pPr>
            <w:r>
              <w:t>relationships</w:t>
            </w:r>
            <w:r w:rsidRPr="00F5606D">
              <w:t>:</w:t>
            </w:r>
          </w:p>
          <w:p w14:paraId="27C6B401" w14:textId="74FD7880" w:rsidR="00F5606D" w:rsidRPr="00F5606D" w:rsidRDefault="00F5606D" w:rsidP="00F5606D">
            <w:pPr>
              <w:pStyle w:val="SIBulletList2"/>
            </w:pPr>
            <w:r w:rsidDel="00EB7F60">
              <w:t xml:space="preserve"> </w:t>
            </w:r>
            <w:r w:rsidRPr="00F5606D">
              <w:t>supervisor.</w:t>
            </w:r>
            <w:r w:rsidRPr="00F5606D" w:rsidDel="00241061">
              <w:t xml:space="preserve"> </w:t>
            </w:r>
          </w:p>
          <w:p w14:paraId="1F24F44C" w14:textId="77777777" w:rsidR="00761DD1" w:rsidRDefault="00761DD1" w:rsidP="003E6517">
            <w:pPr>
              <w:pStyle w:val="SIText"/>
            </w:pPr>
          </w:p>
          <w:p w14:paraId="05C42BBF" w14:textId="0763EA6C"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B7BAD" w16cid:durableId="1DA37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19759" w14:textId="77777777" w:rsidR="00D35AC6" w:rsidRDefault="00D35AC6" w:rsidP="00BF3F0A">
      <w:r>
        <w:separator/>
      </w:r>
    </w:p>
    <w:p w14:paraId="4B57DA2B" w14:textId="77777777" w:rsidR="00D35AC6" w:rsidRDefault="00D35AC6"/>
  </w:endnote>
  <w:endnote w:type="continuationSeparator" w:id="0">
    <w:p w14:paraId="782649ED" w14:textId="77777777" w:rsidR="00D35AC6" w:rsidRDefault="00D35AC6" w:rsidP="00BF3F0A">
      <w:r>
        <w:continuationSeparator/>
      </w:r>
    </w:p>
    <w:p w14:paraId="6FEEEED9" w14:textId="77777777" w:rsidR="00D35AC6" w:rsidRDefault="00D3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56DEFE2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61DD1">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A3E9" w14:textId="77777777" w:rsidR="00D35AC6" w:rsidRDefault="00D35AC6" w:rsidP="00BF3F0A">
      <w:r>
        <w:separator/>
      </w:r>
    </w:p>
    <w:p w14:paraId="08FFE888" w14:textId="77777777" w:rsidR="00D35AC6" w:rsidRDefault="00D35AC6"/>
  </w:footnote>
  <w:footnote w:type="continuationSeparator" w:id="0">
    <w:p w14:paraId="7568E6E4" w14:textId="77777777" w:rsidR="00D35AC6" w:rsidRDefault="00D35AC6" w:rsidP="00BF3F0A">
      <w:r>
        <w:continuationSeparator/>
      </w:r>
    </w:p>
    <w:p w14:paraId="546EC1B9" w14:textId="77777777" w:rsidR="00D35AC6" w:rsidRDefault="00D35A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517F" w14:textId="2AA0D7FF" w:rsidR="00F5606D" w:rsidRDefault="00F5606D" w:rsidP="00F5606D">
    <w:pPr>
      <w:pStyle w:val="SIText"/>
    </w:pPr>
    <w:r w:rsidRPr="00212926">
      <w:t>AHCWRK</w:t>
    </w:r>
    <w:r w:rsidR="00A1311A">
      <w:t>3XX</w:t>
    </w:r>
    <w:r>
      <w:t xml:space="preserve"> </w:t>
    </w:r>
    <w:r w:rsidRPr="00212926">
      <w:t>Operate in isolated and remote situations</w:t>
    </w:r>
  </w:p>
  <w:p w14:paraId="604F31AF" w14:textId="30AF31AB" w:rsidR="009C2650" w:rsidRPr="00C26193" w:rsidRDefault="009C2650" w:rsidP="00C261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42BA"/>
    <w:rsid w:val="00154B74"/>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3212E"/>
    <w:rsid w:val="00434366"/>
    <w:rsid w:val="00434ECE"/>
    <w:rsid w:val="00444423"/>
    <w:rsid w:val="00452F3E"/>
    <w:rsid w:val="004640AE"/>
    <w:rsid w:val="004679E3"/>
    <w:rsid w:val="004706E7"/>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5A10"/>
    <w:rsid w:val="00516A5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25C4"/>
    <w:rsid w:val="00633CFE"/>
    <w:rsid w:val="00634FCA"/>
    <w:rsid w:val="00643D1B"/>
    <w:rsid w:val="006452B8"/>
    <w:rsid w:val="00652E62"/>
    <w:rsid w:val="0068510E"/>
    <w:rsid w:val="00686A49"/>
    <w:rsid w:val="00687B62"/>
    <w:rsid w:val="00690C44"/>
    <w:rsid w:val="00694373"/>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1DD1"/>
    <w:rsid w:val="0076523B"/>
    <w:rsid w:val="00771B60"/>
    <w:rsid w:val="00772D45"/>
    <w:rsid w:val="00781D77"/>
    <w:rsid w:val="00783549"/>
    <w:rsid w:val="007860B7"/>
    <w:rsid w:val="00786DC8"/>
    <w:rsid w:val="007A300D"/>
    <w:rsid w:val="007A6F36"/>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0C84"/>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1311A"/>
    <w:rsid w:val="00A216A8"/>
    <w:rsid w:val="00A223A6"/>
    <w:rsid w:val="00A5092E"/>
    <w:rsid w:val="00A554D6"/>
    <w:rsid w:val="00A56E14"/>
    <w:rsid w:val="00A6476B"/>
    <w:rsid w:val="00A702DD"/>
    <w:rsid w:val="00A73033"/>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243B"/>
    <w:rsid w:val="00B560C8"/>
    <w:rsid w:val="00B61150"/>
    <w:rsid w:val="00B6348D"/>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6193"/>
    <w:rsid w:val="00C30A29"/>
    <w:rsid w:val="00C317DC"/>
    <w:rsid w:val="00C47C15"/>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35AC6"/>
    <w:rsid w:val="00D450A3"/>
    <w:rsid w:val="00D54C76"/>
    <w:rsid w:val="00D661D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06D"/>
    <w:rsid w:val="00F5616F"/>
    <w:rsid w:val="00F56451"/>
    <w:rsid w:val="00F56827"/>
    <w:rsid w:val="00F62866"/>
    <w:rsid w:val="00F65EF0"/>
    <w:rsid w:val="00F71651"/>
    <w:rsid w:val="00F76191"/>
    <w:rsid w:val="00F76CC6"/>
    <w:rsid w:val="00F83D7C"/>
    <w:rsid w:val="00FB232E"/>
    <w:rsid w:val="00FD546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6E35B3C79C04D95A7CEF91E5B69EB" ma:contentTypeVersion="" ma:contentTypeDescription="Create a new document." ma:contentTypeScope="" ma:versionID="cb852bb7f53cc82b5a61ac77f97efa9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d074fc5-4881-4904-900d-cdf408c29254"/>
    <ds:schemaRef ds:uri="http://www.w3.org/XML/1998/namespace"/>
    <ds:schemaRef ds:uri="http://purl.org/dc/elements/1.1/"/>
  </ds:schemaRefs>
</ds:datastoreItem>
</file>

<file path=customXml/itemProps3.xml><?xml version="1.0" encoding="utf-8"?>
<ds:datastoreItem xmlns:ds="http://schemas.openxmlformats.org/officeDocument/2006/customXml" ds:itemID="{7E113028-B41B-4D2E-B322-8F8E1CDC3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13D1E-6CD6-4F10-822D-7CE921AA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9</cp:revision>
  <cp:lastPrinted>2016-05-27T05:21:00Z</cp:lastPrinted>
  <dcterms:created xsi:type="dcterms:W3CDTF">2017-10-31T11:46:00Z</dcterms:created>
  <dcterms:modified xsi:type="dcterms:W3CDTF">2018-01-18T01:37:00Z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0x0101009136E35B3C79C04D95A7CEF91E5B69EB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