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17C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D5506C" w14:textId="77777777" w:rsidTr="00146EEC">
        <w:tc>
          <w:tcPr>
            <w:tcW w:w="2689" w:type="dxa"/>
          </w:tcPr>
          <w:p w14:paraId="332F8D8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2564D0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DF65A3" w14:textId="77777777" w:rsidTr="00146EEC">
        <w:tc>
          <w:tcPr>
            <w:tcW w:w="2689" w:type="dxa"/>
          </w:tcPr>
          <w:p w14:paraId="297AFB07" w14:textId="734AF3E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5C97">
              <w:t>1</w:t>
            </w:r>
          </w:p>
        </w:tc>
        <w:tc>
          <w:tcPr>
            <w:tcW w:w="6939" w:type="dxa"/>
          </w:tcPr>
          <w:p w14:paraId="6DFD136E" w14:textId="13708B44" w:rsidR="00F1480E" w:rsidRPr="000754EC" w:rsidRDefault="00401929" w:rsidP="000754EC">
            <w:pPr>
              <w:pStyle w:val="SIText"/>
            </w:pPr>
            <w:r w:rsidRPr="00401929">
              <w:t>This version released with</w:t>
            </w:r>
            <w:r w:rsidRPr="00401929">
              <w:rPr>
                <w:rFonts w:eastAsiaTheme="minorEastAsia"/>
              </w:rPr>
              <w:t xml:space="preserve"> </w:t>
            </w:r>
            <w:r w:rsidRPr="00401929">
              <w:t>FBP Food, Beverage and Pharmaceut</w:t>
            </w:r>
            <w:r w:rsidR="00315C97">
              <w:t>icals Training Package version 2</w:t>
            </w:r>
            <w:r w:rsidRPr="00401929">
              <w:t>.0.</w:t>
            </w:r>
          </w:p>
        </w:tc>
      </w:tr>
    </w:tbl>
    <w:p w14:paraId="354AEF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01929" w:rsidRPr="00963A46" w14:paraId="1C95ED2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D9113F" w14:textId="75002B4C" w:rsidR="00401929" w:rsidRPr="00401929" w:rsidRDefault="00FF3590" w:rsidP="00401929">
            <w:pPr>
              <w:pStyle w:val="SIUNITCODE"/>
            </w:pPr>
            <w:r>
              <w:t>FBPCDS</w:t>
            </w:r>
            <w:r w:rsidR="00401929" w:rsidRPr="00401929">
              <w:t>3001</w:t>
            </w:r>
          </w:p>
        </w:tc>
        <w:tc>
          <w:tcPr>
            <w:tcW w:w="3604" w:type="pct"/>
            <w:shd w:val="clear" w:color="auto" w:fill="auto"/>
          </w:tcPr>
          <w:p w14:paraId="2077521D" w14:textId="77777777" w:rsidR="00401929" w:rsidRPr="00401929" w:rsidRDefault="00401929" w:rsidP="00401929">
            <w:pPr>
              <w:pStyle w:val="SIUnittitle"/>
            </w:pPr>
            <w:r w:rsidRPr="00401929">
              <w:t>Evaluate wines (advanced)</w:t>
            </w:r>
          </w:p>
        </w:tc>
      </w:tr>
      <w:tr w:rsidR="00401929" w:rsidRPr="00963A46" w14:paraId="1E953ED4" w14:textId="77777777" w:rsidTr="00CA2922">
        <w:tc>
          <w:tcPr>
            <w:tcW w:w="1396" w:type="pct"/>
            <w:shd w:val="clear" w:color="auto" w:fill="auto"/>
          </w:tcPr>
          <w:p w14:paraId="3CB49C72" w14:textId="0C365F27" w:rsidR="00401929" w:rsidRPr="00401929" w:rsidRDefault="00401929" w:rsidP="00401929">
            <w:pPr>
              <w:pStyle w:val="SIHeading2"/>
            </w:pPr>
            <w:r w:rsidRPr="00401929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9C7312B" w14:textId="64C1D53E" w:rsidR="00401929" w:rsidRDefault="00401929" w:rsidP="004D4666">
            <w:pPr>
              <w:pStyle w:val="SIText"/>
            </w:pPr>
            <w:r w:rsidRPr="00401929">
              <w:t>This unit of competency describes the skills and knowledge required to evaluate a broad range of wines and identify by grape variety, region and vintage. It includes identification of specialised wine faults, food and wine matching, and advice on serving a</w:t>
            </w:r>
            <w:r w:rsidR="00D4339A">
              <w:t>nd ageing.</w:t>
            </w:r>
          </w:p>
          <w:p w14:paraId="79B60BDE" w14:textId="77777777" w:rsidR="00401929" w:rsidRPr="00401929" w:rsidRDefault="00401929" w:rsidP="004D4666">
            <w:pPr>
              <w:pStyle w:val="SIText"/>
            </w:pPr>
          </w:p>
          <w:p w14:paraId="57F24E44" w14:textId="77777777" w:rsidR="00401929" w:rsidRPr="00401929" w:rsidRDefault="00401929" w:rsidP="004D4666">
            <w:pPr>
              <w:pStyle w:val="SIText"/>
            </w:pPr>
            <w:r w:rsidRPr="00401929">
              <w:t>The unit applies to individuals who work in cellar door sales in the wine industry under broad direction and take responsibility for their own work.</w:t>
            </w:r>
          </w:p>
          <w:p w14:paraId="05B1620B" w14:textId="77777777" w:rsidR="00401929" w:rsidRDefault="00401929" w:rsidP="004D4666">
            <w:pPr>
              <w:pStyle w:val="SIText"/>
            </w:pPr>
            <w:r w:rsidRPr="00401929">
              <w:t>No occupational licensing, legislative or certification requirements apply to this unit at the time of publication.</w:t>
            </w:r>
          </w:p>
          <w:p w14:paraId="42C27EF9" w14:textId="77777777" w:rsidR="00594627" w:rsidRDefault="00594627" w:rsidP="004D4666">
            <w:pPr>
              <w:pStyle w:val="SIText"/>
            </w:pPr>
          </w:p>
          <w:p w14:paraId="3A8DFFBB" w14:textId="1B0B8A06" w:rsidR="00594627" w:rsidRDefault="00594627" w:rsidP="00594627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010B0396" w14:textId="77777777" w:rsidR="00401929" w:rsidRPr="00401929" w:rsidRDefault="00401929" w:rsidP="00401929">
            <w:r w:rsidRPr="00401929">
              <w:fldChar w:fldCharType="begin"/>
            </w:r>
            <w:r w:rsidRPr="00401929">
              <w:instrText xml:space="preserve"> STYLEREF  "AFSA AR Code"  \* MERGEFORMAT </w:instrText>
            </w:r>
            <w:r w:rsidRPr="00401929">
              <w:fldChar w:fldCharType="end"/>
            </w:r>
          </w:p>
        </w:tc>
      </w:tr>
      <w:tr w:rsidR="00401929" w:rsidRPr="00963A46" w14:paraId="78A8E000" w14:textId="77777777" w:rsidTr="00CA2922">
        <w:tc>
          <w:tcPr>
            <w:tcW w:w="1396" w:type="pct"/>
            <w:shd w:val="clear" w:color="auto" w:fill="auto"/>
          </w:tcPr>
          <w:p w14:paraId="5E97FA5F" w14:textId="77777777" w:rsidR="00401929" w:rsidRPr="00401929" w:rsidRDefault="00401929" w:rsidP="00401929">
            <w:pPr>
              <w:pStyle w:val="SIHeading2"/>
            </w:pPr>
            <w:r w:rsidRPr="0040192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6CEC10" w14:textId="23F6B32C" w:rsidR="00401929" w:rsidRPr="00401929" w:rsidRDefault="00FF3590" w:rsidP="004D4666">
            <w:pPr>
              <w:pStyle w:val="SIText"/>
            </w:pPr>
            <w:r>
              <w:t>FBPCDS</w:t>
            </w:r>
            <w:r w:rsidR="00401929" w:rsidRPr="00401929">
              <w:t>2003 Evaluate wines</w:t>
            </w:r>
          </w:p>
        </w:tc>
      </w:tr>
      <w:tr w:rsidR="00401929" w:rsidRPr="00963A46" w14:paraId="33BCE2EA" w14:textId="77777777" w:rsidTr="00CA2922">
        <w:tc>
          <w:tcPr>
            <w:tcW w:w="1396" w:type="pct"/>
            <w:shd w:val="clear" w:color="auto" w:fill="auto"/>
          </w:tcPr>
          <w:p w14:paraId="01A65711" w14:textId="77777777" w:rsidR="00401929" w:rsidRPr="00401929" w:rsidRDefault="00401929" w:rsidP="00401929">
            <w:pPr>
              <w:pStyle w:val="SIHeading2"/>
            </w:pPr>
            <w:r w:rsidRPr="0040192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566CC6A" w14:textId="034FD55F" w:rsidR="00401929" w:rsidRPr="00401929" w:rsidRDefault="00572095" w:rsidP="004D4666">
            <w:pPr>
              <w:pStyle w:val="SIText"/>
            </w:pPr>
            <w:r>
              <w:t>Cellar Door</w:t>
            </w:r>
            <w:bookmarkStart w:id="0" w:name="_GoBack"/>
            <w:bookmarkEnd w:id="0"/>
            <w:r w:rsidR="00401929" w:rsidRPr="00401929">
              <w:t xml:space="preserve"> (CDS)</w:t>
            </w:r>
          </w:p>
        </w:tc>
      </w:tr>
    </w:tbl>
    <w:p w14:paraId="7059F9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7622C4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6BB3E8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85B734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A5B50D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C49968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219B9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1929" w:rsidRPr="00963A46" w14:paraId="751738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3A1A08" w14:textId="5F9B7EAD" w:rsidR="00401929" w:rsidRPr="00401929" w:rsidRDefault="00401929" w:rsidP="004D4666">
            <w:pPr>
              <w:pStyle w:val="SIText"/>
            </w:pPr>
            <w:r w:rsidRPr="00401929">
              <w:t>1</w:t>
            </w:r>
            <w:r w:rsidR="00315C97">
              <w:t>.</w:t>
            </w:r>
            <w:r w:rsidRPr="00401929">
              <w:t xml:space="preserve"> Identify specific wine characteristics using sensory evaluation techniques</w:t>
            </w:r>
          </w:p>
        </w:tc>
        <w:tc>
          <w:tcPr>
            <w:tcW w:w="3604" w:type="pct"/>
            <w:shd w:val="clear" w:color="auto" w:fill="auto"/>
          </w:tcPr>
          <w:p w14:paraId="3C058663" w14:textId="77777777" w:rsidR="00401929" w:rsidRPr="00401929" w:rsidRDefault="00401929" w:rsidP="004D4666">
            <w:pPr>
              <w:pStyle w:val="SIText"/>
            </w:pPr>
            <w:r w:rsidRPr="00401929">
              <w:t>1.1 Use industry accepted tasting procedures including sight, smell and taste to evaluate wine characteristics</w:t>
            </w:r>
          </w:p>
          <w:p w14:paraId="3B0169DE" w14:textId="77777777" w:rsidR="00401929" w:rsidRPr="00401929" w:rsidRDefault="00401929" w:rsidP="004D4666">
            <w:pPr>
              <w:pStyle w:val="SIText"/>
            </w:pPr>
            <w:r w:rsidRPr="00401929">
              <w:t>1.2 Identify Australian wine by grape varieties, region and vintage</w:t>
            </w:r>
          </w:p>
          <w:p w14:paraId="404744B0" w14:textId="77777777" w:rsidR="00401929" w:rsidRPr="00401929" w:rsidRDefault="00401929" w:rsidP="004D4666">
            <w:pPr>
              <w:pStyle w:val="SIText"/>
            </w:pPr>
            <w:r w:rsidRPr="00401929">
              <w:t>1.3 Identify and discuss specific winemaking techniques with customers and/or industry personnel</w:t>
            </w:r>
          </w:p>
          <w:p w14:paraId="0922E204" w14:textId="77777777" w:rsidR="00401929" w:rsidRPr="00401929" w:rsidRDefault="00401929" w:rsidP="004D4666">
            <w:pPr>
              <w:pStyle w:val="SIText"/>
            </w:pPr>
            <w:r w:rsidRPr="00401929">
              <w:t>1.4 Inspect wine, identify specialised wine faults and report to relevant workplace personnel</w:t>
            </w:r>
          </w:p>
          <w:p w14:paraId="1A457146" w14:textId="77777777" w:rsidR="00401929" w:rsidRPr="00401929" w:rsidRDefault="00401929" w:rsidP="004D4666">
            <w:pPr>
              <w:pStyle w:val="SIText"/>
            </w:pPr>
            <w:r w:rsidRPr="00401929">
              <w:t>1.5 Complete quality evaluation of selected wines</w:t>
            </w:r>
          </w:p>
        </w:tc>
      </w:tr>
      <w:tr w:rsidR="00401929" w:rsidRPr="00963A46" w14:paraId="005D82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D728A8" w14:textId="6B579DEB" w:rsidR="00401929" w:rsidRPr="00401929" w:rsidRDefault="00401929" w:rsidP="004D4666">
            <w:pPr>
              <w:pStyle w:val="SIText"/>
            </w:pPr>
            <w:r w:rsidRPr="00401929">
              <w:t>2</w:t>
            </w:r>
            <w:r w:rsidR="00315C97">
              <w:t>.</w:t>
            </w:r>
            <w:r w:rsidRPr="00401929">
              <w:t xml:space="preserve"> Compare Australian styles with key world wines</w:t>
            </w:r>
          </w:p>
        </w:tc>
        <w:tc>
          <w:tcPr>
            <w:tcW w:w="3604" w:type="pct"/>
            <w:shd w:val="clear" w:color="auto" w:fill="auto"/>
          </w:tcPr>
          <w:p w14:paraId="573F6A4E" w14:textId="77777777" w:rsidR="00401929" w:rsidRPr="00401929" w:rsidRDefault="00401929" w:rsidP="004D4666">
            <w:pPr>
              <w:pStyle w:val="SIText"/>
            </w:pPr>
            <w:r w:rsidRPr="00401929">
              <w:t>2.1 Identify well known world wines in terms of style and quality</w:t>
            </w:r>
          </w:p>
          <w:p w14:paraId="36DE11CC" w14:textId="77777777" w:rsidR="00401929" w:rsidRPr="00401929" w:rsidRDefault="00401929" w:rsidP="004D4666">
            <w:pPr>
              <w:pStyle w:val="SIText"/>
            </w:pPr>
            <w:r w:rsidRPr="00401929">
              <w:t>2.2 Recommend appropriate workplace wines as alternatives</w:t>
            </w:r>
          </w:p>
        </w:tc>
      </w:tr>
      <w:tr w:rsidR="00401929" w:rsidRPr="00963A46" w14:paraId="2591C7F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5D5B02" w14:textId="1B522FDE" w:rsidR="00401929" w:rsidRPr="00401929" w:rsidRDefault="00401929" w:rsidP="004D4666">
            <w:pPr>
              <w:pStyle w:val="SIText"/>
            </w:pPr>
            <w:r w:rsidRPr="00401929">
              <w:t>3</w:t>
            </w:r>
            <w:r w:rsidR="00315C97">
              <w:t>.</w:t>
            </w:r>
            <w:r w:rsidRPr="00401929">
              <w:t xml:space="preserve"> Enhance consumer enjoyment of wine</w:t>
            </w:r>
          </w:p>
        </w:tc>
        <w:tc>
          <w:tcPr>
            <w:tcW w:w="3604" w:type="pct"/>
            <w:shd w:val="clear" w:color="auto" w:fill="auto"/>
          </w:tcPr>
          <w:p w14:paraId="7E791FAF" w14:textId="77777777" w:rsidR="00401929" w:rsidRPr="00401929" w:rsidRDefault="00401929" w:rsidP="004D4666">
            <w:pPr>
              <w:pStyle w:val="SIText"/>
            </w:pPr>
            <w:r w:rsidRPr="00401929">
              <w:t>3.1 Select appropriate workplace wines to match food choices</w:t>
            </w:r>
          </w:p>
          <w:p w14:paraId="07C18180" w14:textId="77777777" w:rsidR="00401929" w:rsidRPr="00401929" w:rsidRDefault="00401929" w:rsidP="004D4666">
            <w:pPr>
              <w:pStyle w:val="SIText"/>
            </w:pPr>
            <w:r w:rsidRPr="00401929">
              <w:t>3.2 Specify optimum ageing and serving requirements for selected wines</w:t>
            </w:r>
          </w:p>
        </w:tc>
      </w:tr>
    </w:tbl>
    <w:p w14:paraId="57CCC314" w14:textId="77777777" w:rsidR="005F771F" w:rsidRDefault="005F771F" w:rsidP="005F771F">
      <w:pPr>
        <w:pStyle w:val="SIText"/>
      </w:pPr>
    </w:p>
    <w:p w14:paraId="6564B739" w14:textId="77777777" w:rsidR="005F771F" w:rsidRPr="000754EC" w:rsidRDefault="005F771F" w:rsidP="000754EC">
      <w:r>
        <w:br w:type="page"/>
      </w:r>
    </w:p>
    <w:p w14:paraId="63D5E13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F2DDCB" w14:textId="77777777" w:rsidTr="00CA2922">
        <w:trPr>
          <w:tblHeader/>
        </w:trPr>
        <w:tc>
          <w:tcPr>
            <w:tcW w:w="5000" w:type="pct"/>
            <w:gridSpan w:val="2"/>
          </w:tcPr>
          <w:p w14:paraId="1F2D0CB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E4C876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DF002F" w14:textId="77777777" w:rsidTr="00CA2922">
        <w:trPr>
          <w:tblHeader/>
        </w:trPr>
        <w:tc>
          <w:tcPr>
            <w:tcW w:w="1396" w:type="pct"/>
          </w:tcPr>
          <w:p w14:paraId="1833A61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7879A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1929" w:rsidRPr="00336FCA" w:rsidDel="00423CB2" w14:paraId="75D2E5BB" w14:textId="77777777" w:rsidTr="00CA2922">
        <w:tc>
          <w:tcPr>
            <w:tcW w:w="1396" w:type="pct"/>
          </w:tcPr>
          <w:p w14:paraId="1E16FE17" w14:textId="77777777" w:rsidR="00401929" w:rsidRPr="004D4666" w:rsidRDefault="00401929" w:rsidP="004D4666">
            <w:pPr>
              <w:pStyle w:val="SIText"/>
            </w:pPr>
            <w:r w:rsidRPr="004D4666">
              <w:t>Reading</w:t>
            </w:r>
          </w:p>
        </w:tc>
        <w:tc>
          <w:tcPr>
            <w:tcW w:w="3604" w:type="pct"/>
          </w:tcPr>
          <w:p w14:paraId="731E8B4C" w14:textId="77777777" w:rsidR="00401929" w:rsidRPr="004D4666" w:rsidRDefault="00401929" w:rsidP="004D4666">
            <w:pPr>
              <w:pStyle w:val="SIBulletList1"/>
            </w:pPr>
            <w:r w:rsidRPr="004D4666">
              <w:t>Interpret key facts about wine from information on wine labels and other workplace sources</w:t>
            </w:r>
          </w:p>
        </w:tc>
      </w:tr>
      <w:tr w:rsidR="00401929" w:rsidRPr="00336FCA" w:rsidDel="00423CB2" w14:paraId="731E1538" w14:textId="77777777" w:rsidTr="00CA2922">
        <w:tc>
          <w:tcPr>
            <w:tcW w:w="1396" w:type="pct"/>
          </w:tcPr>
          <w:p w14:paraId="36C43257" w14:textId="77777777" w:rsidR="00401929" w:rsidRPr="004D4666" w:rsidRDefault="00401929" w:rsidP="004D4666">
            <w:pPr>
              <w:pStyle w:val="SIText"/>
            </w:pPr>
            <w:r w:rsidRPr="004D4666">
              <w:t>Numeracy</w:t>
            </w:r>
          </w:p>
        </w:tc>
        <w:tc>
          <w:tcPr>
            <w:tcW w:w="3604" w:type="pct"/>
          </w:tcPr>
          <w:p w14:paraId="1FCC13BE" w14:textId="77777777" w:rsidR="00401929" w:rsidRPr="004D4666" w:rsidRDefault="00401929" w:rsidP="004D4666">
            <w:pPr>
              <w:pStyle w:val="SIBulletList1"/>
            </w:pPr>
            <w:r w:rsidRPr="004D4666">
              <w:t>Use alcohol content, date and other relevant numerical information on wine labels to explain characteristics of selected wines</w:t>
            </w:r>
          </w:p>
        </w:tc>
      </w:tr>
      <w:tr w:rsidR="00401929" w:rsidRPr="00336FCA" w:rsidDel="00423CB2" w14:paraId="6C747D93" w14:textId="77777777" w:rsidTr="00CD7A28">
        <w:trPr>
          <w:trHeight w:val="212"/>
        </w:trPr>
        <w:tc>
          <w:tcPr>
            <w:tcW w:w="1396" w:type="pct"/>
          </w:tcPr>
          <w:p w14:paraId="64210432" w14:textId="6AE154DF" w:rsidR="00401929" w:rsidRPr="004D4666" w:rsidRDefault="00D4339A" w:rsidP="004D4666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1AADFEF" w14:textId="77777777" w:rsidR="00401929" w:rsidRPr="004D4666" w:rsidRDefault="00401929" w:rsidP="004D4666">
            <w:pPr>
              <w:pStyle w:val="SIBulletList1"/>
            </w:pPr>
            <w:r w:rsidRPr="004D4666">
              <w:t>Use clear language and industry accepted terminology to describe different wines</w:t>
            </w:r>
          </w:p>
          <w:p w14:paraId="735DB1A2" w14:textId="77777777" w:rsidR="00401929" w:rsidRPr="004D4666" w:rsidRDefault="00401929" w:rsidP="004D4666">
            <w:pPr>
              <w:pStyle w:val="SIBulletList1"/>
            </w:pPr>
            <w:r w:rsidRPr="004D4666">
              <w:rPr>
                <w:rFonts w:eastAsia="Calibri"/>
              </w:rPr>
              <w:t>Participate in verbal exchanges to convey information about wine and food appropriate for the audience</w:t>
            </w:r>
          </w:p>
        </w:tc>
      </w:tr>
      <w:tr w:rsidR="00401929" w:rsidRPr="00336FCA" w:rsidDel="00423CB2" w14:paraId="48845CCE" w14:textId="77777777" w:rsidTr="00CD7A28">
        <w:trPr>
          <w:trHeight w:val="212"/>
        </w:trPr>
        <w:tc>
          <w:tcPr>
            <w:tcW w:w="1396" w:type="pct"/>
          </w:tcPr>
          <w:p w14:paraId="4C0255A1" w14:textId="77777777" w:rsidR="00401929" w:rsidRPr="004D4666" w:rsidRDefault="00401929" w:rsidP="004D4666">
            <w:pPr>
              <w:pStyle w:val="SIText"/>
            </w:pPr>
            <w:r w:rsidRPr="004D4666">
              <w:t>Learning</w:t>
            </w:r>
          </w:p>
        </w:tc>
        <w:tc>
          <w:tcPr>
            <w:tcW w:w="3604" w:type="pct"/>
          </w:tcPr>
          <w:p w14:paraId="109BEA9E" w14:textId="77777777" w:rsidR="00401929" w:rsidRPr="004D4666" w:rsidRDefault="00401929" w:rsidP="004D4666">
            <w:pPr>
              <w:pStyle w:val="SIBulletList1"/>
            </w:pPr>
            <w:r w:rsidRPr="004D4666">
              <w:t>Actively build knowledge about a broad range of products to enhance own role</w:t>
            </w:r>
          </w:p>
        </w:tc>
      </w:tr>
      <w:tr w:rsidR="00401929" w:rsidRPr="00336FCA" w:rsidDel="00423CB2" w14:paraId="217CC98E" w14:textId="77777777" w:rsidTr="00CD7A28">
        <w:trPr>
          <w:trHeight w:val="212"/>
        </w:trPr>
        <w:tc>
          <w:tcPr>
            <w:tcW w:w="1396" w:type="pct"/>
          </w:tcPr>
          <w:p w14:paraId="18E92786" w14:textId="77777777" w:rsidR="00401929" w:rsidRPr="004D4666" w:rsidRDefault="00401929" w:rsidP="004D4666">
            <w:pPr>
              <w:pStyle w:val="SIText"/>
            </w:pPr>
            <w:r w:rsidRPr="004D4666">
              <w:t>Navigate the world of work</w:t>
            </w:r>
          </w:p>
        </w:tc>
        <w:tc>
          <w:tcPr>
            <w:tcW w:w="3604" w:type="pct"/>
          </w:tcPr>
          <w:p w14:paraId="439E0D9B" w14:textId="77777777" w:rsidR="00401929" w:rsidRPr="004D4666" w:rsidRDefault="00401929" w:rsidP="004D4666">
            <w:pPr>
              <w:pStyle w:val="SIBulletList1"/>
            </w:pPr>
            <w:r w:rsidRPr="004D4666">
              <w:rPr>
                <w:rFonts w:eastAsia="Calibri"/>
              </w:rPr>
              <w:t>Understand purpose and take responsibility for decisions related to own role and area of responsibility</w:t>
            </w:r>
          </w:p>
        </w:tc>
      </w:tr>
      <w:tr w:rsidR="00401929" w:rsidRPr="00336FCA" w:rsidDel="00423CB2" w14:paraId="3DE5E39C" w14:textId="77777777" w:rsidTr="00CD7A28">
        <w:trPr>
          <w:trHeight w:val="212"/>
        </w:trPr>
        <w:tc>
          <w:tcPr>
            <w:tcW w:w="1396" w:type="pct"/>
          </w:tcPr>
          <w:p w14:paraId="4B4D02AF" w14:textId="77777777" w:rsidR="00401929" w:rsidRPr="004D4666" w:rsidRDefault="00401929" w:rsidP="004D4666">
            <w:pPr>
              <w:pStyle w:val="SIText"/>
            </w:pPr>
            <w:r w:rsidRPr="004D4666">
              <w:t>Interact with others</w:t>
            </w:r>
          </w:p>
        </w:tc>
        <w:tc>
          <w:tcPr>
            <w:tcW w:w="3604" w:type="pct"/>
          </w:tcPr>
          <w:p w14:paraId="646CD2F5" w14:textId="77777777" w:rsidR="00401929" w:rsidRPr="004D4666" w:rsidRDefault="00401929" w:rsidP="004D4666">
            <w:pPr>
              <w:pStyle w:val="SIBulletList1"/>
            </w:pPr>
            <w:r w:rsidRPr="004D4666">
              <w:rPr>
                <w:rFonts w:eastAsia="Calibri"/>
              </w:rPr>
              <w:t>Follow accepted practices and protocols to communicate information about wine appropriate to audience</w:t>
            </w:r>
          </w:p>
        </w:tc>
      </w:tr>
      <w:tr w:rsidR="00401929" w:rsidRPr="00336FCA" w:rsidDel="00423CB2" w14:paraId="328B4F37" w14:textId="77777777" w:rsidTr="00CD7A28">
        <w:trPr>
          <w:trHeight w:val="212"/>
        </w:trPr>
        <w:tc>
          <w:tcPr>
            <w:tcW w:w="1396" w:type="pct"/>
          </w:tcPr>
          <w:p w14:paraId="3759B303" w14:textId="77777777" w:rsidR="00401929" w:rsidRPr="004D4666" w:rsidRDefault="00401929" w:rsidP="004D4666">
            <w:pPr>
              <w:pStyle w:val="SIText"/>
            </w:pPr>
            <w:r w:rsidRPr="004D4666">
              <w:t>Get the work done</w:t>
            </w:r>
          </w:p>
        </w:tc>
        <w:tc>
          <w:tcPr>
            <w:tcW w:w="3604" w:type="pct"/>
          </w:tcPr>
          <w:p w14:paraId="07353DAE" w14:textId="77777777" w:rsidR="00401929" w:rsidRPr="004D4666" w:rsidRDefault="00401929" w:rsidP="004D4666">
            <w:pPr>
              <w:pStyle w:val="SIBulletList1"/>
              <w:rPr>
                <w:rFonts w:eastAsia="Calibri"/>
              </w:rPr>
            </w:pPr>
            <w:r w:rsidRPr="004D4666">
              <w:rPr>
                <w:rFonts w:eastAsia="Calibri"/>
              </w:rPr>
              <w:t>Organise and assemble resources required to evaluate wines</w:t>
            </w:r>
          </w:p>
          <w:p w14:paraId="24BAD6EE" w14:textId="77777777" w:rsidR="00401929" w:rsidRPr="00D4339A" w:rsidRDefault="00401929" w:rsidP="004D4666">
            <w:pPr>
              <w:pStyle w:val="SIBulletList1"/>
            </w:pPr>
            <w:r w:rsidRPr="004D4666">
              <w:rPr>
                <w:rFonts w:eastAsia="Calibri"/>
              </w:rPr>
              <w:t>Make evaluative decisions about wine using industry accepted practices, and reflect on outcomes to identify effectiveness of decisions</w:t>
            </w:r>
          </w:p>
          <w:p w14:paraId="208BE98B" w14:textId="1F737BFC" w:rsidR="00594627" w:rsidRPr="004D4666" w:rsidRDefault="00594627" w:rsidP="00594627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256AC307" w14:textId="77777777" w:rsidR="00916CD7" w:rsidRDefault="00916CD7" w:rsidP="005F771F">
      <w:pPr>
        <w:pStyle w:val="SIText"/>
      </w:pPr>
    </w:p>
    <w:p w14:paraId="0BC8B9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CCAC9E" w14:textId="77777777" w:rsidTr="00F33FF2">
        <w:tc>
          <w:tcPr>
            <w:tcW w:w="5000" w:type="pct"/>
            <w:gridSpan w:val="4"/>
          </w:tcPr>
          <w:p w14:paraId="2E7DD1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C9A2786" w14:textId="77777777" w:rsidTr="00F33FF2">
        <w:tc>
          <w:tcPr>
            <w:tcW w:w="1028" w:type="pct"/>
          </w:tcPr>
          <w:p w14:paraId="6606E3C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5CC32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EB766B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EB5EA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1929" w14:paraId="5CF6C22E" w14:textId="77777777" w:rsidTr="00F33FF2">
        <w:tc>
          <w:tcPr>
            <w:tcW w:w="1028" w:type="pct"/>
          </w:tcPr>
          <w:p w14:paraId="60EAFBD8" w14:textId="4A446E8F" w:rsidR="00401929" w:rsidRPr="00401929" w:rsidRDefault="00FF3590" w:rsidP="004D4666">
            <w:pPr>
              <w:pStyle w:val="SIText"/>
            </w:pPr>
            <w:r>
              <w:t>FBPCDS</w:t>
            </w:r>
            <w:r w:rsidR="00401929" w:rsidRPr="00401929">
              <w:t>3001 Evaluate wines (advanced)</w:t>
            </w:r>
          </w:p>
        </w:tc>
        <w:tc>
          <w:tcPr>
            <w:tcW w:w="1105" w:type="pct"/>
          </w:tcPr>
          <w:p w14:paraId="31CC8834" w14:textId="77777777" w:rsidR="00401929" w:rsidRPr="00401929" w:rsidRDefault="00401929" w:rsidP="004D4666">
            <w:pPr>
              <w:pStyle w:val="SIText"/>
            </w:pPr>
            <w:r w:rsidRPr="00401929">
              <w:t>FDFCD3001A Evaluate wines (advanced)</w:t>
            </w:r>
          </w:p>
        </w:tc>
        <w:tc>
          <w:tcPr>
            <w:tcW w:w="1251" w:type="pct"/>
          </w:tcPr>
          <w:p w14:paraId="0E91FA9A" w14:textId="67364134" w:rsidR="00401929" w:rsidRDefault="00401929" w:rsidP="004D4666">
            <w:pPr>
              <w:pStyle w:val="SIText"/>
            </w:pPr>
            <w:r w:rsidRPr="00401929">
              <w:t>Updated to meet Standards for Training Packages</w:t>
            </w:r>
          </w:p>
          <w:p w14:paraId="277053CA" w14:textId="77777777" w:rsidR="002402AD" w:rsidRPr="00401929" w:rsidRDefault="002402AD" w:rsidP="004D4666">
            <w:pPr>
              <w:pStyle w:val="SIText"/>
            </w:pPr>
          </w:p>
          <w:p w14:paraId="114792E8" w14:textId="77777777" w:rsidR="00401929" w:rsidRPr="00401929" w:rsidRDefault="00401929" w:rsidP="004D4666">
            <w:pPr>
              <w:pStyle w:val="SIText"/>
            </w:pPr>
            <w:r w:rsidRPr="00401929">
              <w:t>Minor changes to elements for clarity</w:t>
            </w:r>
          </w:p>
        </w:tc>
        <w:tc>
          <w:tcPr>
            <w:tcW w:w="1616" w:type="pct"/>
          </w:tcPr>
          <w:p w14:paraId="01DB8129" w14:textId="77777777" w:rsidR="00401929" w:rsidRPr="00401929" w:rsidRDefault="00401929" w:rsidP="004D4666">
            <w:pPr>
              <w:pStyle w:val="SIText"/>
            </w:pPr>
            <w:r w:rsidRPr="00401929">
              <w:t>Equivalent unit</w:t>
            </w:r>
          </w:p>
        </w:tc>
      </w:tr>
    </w:tbl>
    <w:p w14:paraId="018459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473"/>
      </w:tblGrid>
      <w:tr w:rsidR="00594627" w:rsidRPr="00A55106" w14:paraId="53104D6B" w14:textId="77777777" w:rsidTr="00D4339A">
        <w:tc>
          <w:tcPr>
            <w:tcW w:w="1119" w:type="pct"/>
            <w:shd w:val="clear" w:color="auto" w:fill="auto"/>
          </w:tcPr>
          <w:p w14:paraId="4D59E9C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81" w:type="pct"/>
            <w:shd w:val="clear" w:color="auto" w:fill="auto"/>
          </w:tcPr>
          <w:p w14:paraId="0D6A096E" w14:textId="5C1A4953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</w:t>
            </w:r>
            <w:r w:rsidR="00D4339A">
              <w:t>uides, are available at VETNet:</w:t>
            </w:r>
          </w:p>
          <w:p w14:paraId="433426B7" w14:textId="77777777" w:rsidR="00F1480E" w:rsidRDefault="008F5B3B" w:rsidP="00CD7A28">
            <w:pPr>
              <w:pStyle w:val="SIText"/>
            </w:pPr>
            <w:hyperlink r:id="rId11" w:history="1">
              <w:r w:rsidR="00315C97" w:rsidRPr="00D611D3">
                <w:t>https://vetnet.education.gov.au/Pages/TrainingDocs.aspx?q=78b15323-cd38-483e-aad7-1159b570a5c4</w:t>
              </w:r>
            </w:hyperlink>
          </w:p>
          <w:p w14:paraId="37F87E41" w14:textId="0C87722F" w:rsidR="00D4339A" w:rsidRPr="000754EC" w:rsidRDefault="00D4339A" w:rsidP="00CD7A28">
            <w:pPr>
              <w:pStyle w:val="SIText"/>
            </w:pPr>
          </w:p>
        </w:tc>
      </w:tr>
    </w:tbl>
    <w:p w14:paraId="3376D87D" w14:textId="77777777" w:rsidR="00F1480E" w:rsidRDefault="00F1480E" w:rsidP="005F771F">
      <w:pPr>
        <w:pStyle w:val="SIText"/>
      </w:pPr>
    </w:p>
    <w:p w14:paraId="715C0C5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01929" w:rsidRPr="00E91BFF" w14:paraId="3B857B3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352A379" w14:textId="2F38E936" w:rsidR="00401929" w:rsidRPr="00401929" w:rsidRDefault="00315C97" w:rsidP="00401929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4563D96" w14:textId="3E523A0B" w:rsidR="00401929" w:rsidRPr="00401929" w:rsidRDefault="00315C97" w:rsidP="00FF3590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FF3590">
              <w:t>FBPCDS</w:t>
            </w:r>
            <w:r w:rsidRPr="00401929">
              <w:t>3001 Evaluate wines (advanced</w:t>
            </w:r>
            <w:r>
              <w:t>)</w:t>
            </w:r>
            <w:r w:rsidR="00401929" w:rsidRPr="00401929">
              <w:fldChar w:fldCharType="begin"/>
            </w:r>
            <w:r w:rsidR="00401929" w:rsidRPr="00401929">
              <w:instrText xml:space="preserve"> STYLEREF  "AFSA Unit Title"  \* MERGEFORMAT </w:instrText>
            </w:r>
            <w:r w:rsidR="00401929" w:rsidRPr="00401929">
              <w:fldChar w:fldCharType="end"/>
            </w:r>
            <w:r w:rsidR="00401929" w:rsidRPr="00401929">
              <w:fldChar w:fldCharType="begin"/>
            </w:r>
            <w:r w:rsidR="00401929" w:rsidRPr="00401929">
              <w:instrText xml:space="preserve"> STYLEREF  "AFSA Unit Title"  \* MERGEFORMAT </w:instrText>
            </w:r>
            <w:r w:rsidR="00401929" w:rsidRPr="00401929">
              <w:fldChar w:fldCharType="end"/>
            </w:r>
          </w:p>
        </w:tc>
      </w:tr>
      <w:tr w:rsidR="00556C4C" w:rsidRPr="00A55106" w14:paraId="3AE320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D57B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B3CC235" w14:textId="77777777" w:rsidTr="00113678">
        <w:tc>
          <w:tcPr>
            <w:tcW w:w="5000" w:type="pct"/>
            <w:gridSpan w:val="2"/>
            <w:shd w:val="clear" w:color="auto" w:fill="auto"/>
          </w:tcPr>
          <w:p w14:paraId="36695095" w14:textId="050CCF09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D4339A">
              <w:t xml:space="preserve"> this unit.</w:t>
            </w:r>
          </w:p>
          <w:p w14:paraId="576F48F6" w14:textId="77777777" w:rsidR="00D4339A" w:rsidRPr="000754EC" w:rsidRDefault="00D4339A" w:rsidP="000754EC">
            <w:pPr>
              <w:pStyle w:val="SIText"/>
            </w:pPr>
          </w:p>
          <w:p w14:paraId="014545C4" w14:textId="77777777" w:rsidR="00401929" w:rsidRPr="00401929" w:rsidRDefault="00401929" w:rsidP="00401929">
            <w:pPr>
              <w:pStyle w:val="SIText"/>
            </w:pPr>
            <w:r w:rsidRPr="00401929">
              <w:t>There must be evidence that the individual has performance an advanced evaluation of wines on at least two separate occasions, including:</w:t>
            </w:r>
          </w:p>
          <w:p w14:paraId="59921751" w14:textId="77777777" w:rsidR="00401929" w:rsidRPr="00401929" w:rsidRDefault="00401929" w:rsidP="00401929">
            <w:pPr>
              <w:pStyle w:val="SIBulletList1"/>
            </w:pPr>
            <w:r w:rsidRPr="00401929">
              <w:t>establishing appropriate conditions for tasting wines, including optimum conditions for sight, smell and taste</w:t>
            </w:r>
          </w:p>
          <w:p w14:paraId="54955139" w14:textId="7530AC03" w:rsidR="00401929" w:rsidRPr="00401929" w:rsidRDefault="00401929" w:rsidP="00401929">
            <w:pPr>
              <w:pStyle w:val="SIBulletList1"/>
            </w:pPr>
            <w:r w:rsidRPr="00401929">
              <w:t>correctly explaining specific winemaking techniques and their</w:t>
            </w:r>
            <w:r w:rsidR="00D4339A">
              <w:t xml:space="preserve"> effect on wine characteristics</w:t>
            </w:r>
          </w:p>
          <w:p w14:paraId="7F59D1FE" w14:textId="796F7A15" w:rsidR="00401929" w:rsidRPr="00401929" w:rsidRDefault="00401929" w:rsidP="00401929">
            <w:pPr>
              <w:pStyle w:val="SIBulletList1"/>
            </w:pPr>
            <w:r w:rsidRPr="00401929">
              <w:t>following correct tasting procedures to identify wines for style, grape variety, vintage, region and quality, and evaluating</w:t>
            </w:r>
            <w:r w:rsidR="00D4339A">
              <w:t xml:space="preserve"> and explaining characteristics</w:t>
            </w:r>
          </w:p>
          <w:p w14:paraId="33D9F8C2" w14:textId="632ACF42" w:rsidR="00401929" w:rsidRPr="00401929" w:rsidRDefault="00401929" w:rsidP="00401929">
            <w:pPr>
              <w:pStyle w:val="SIBulletList1"/>
            </w:pPr>
            <w:r w:rsidRPr="00401929">
              <w:t>iden</w:t>
            </w:r>
            <w:r w:rsidR="00D4339A">
              <w:t>tifying specialised wine faults</w:t>
            </w:r>
          </w:p>
          <w:p w14:paraId="4C28EB24" w14:textId="77777777" w:rsidR="00401929" w:rsidRPr="00401929" w:rsidRDefault="00401929" w:rsidP="00401929">
            <w:pPr>
              <w:pStyle w:val="SIBulletList1"/>
            </w:pPr>
            <w:r w:rsidRPr="00401929">
              <w:t>explaining optimum ageing, cellaring and serving conditions for wine styles.</w:t>
            </w:r>
          </w:p>
          <w:p w14:paraId="58D1948D" w14:textId="77777777" w:rsidR="00556C4C" w:rsidRPr="000754EC" w:rsidRDefault="00556C4C" w:rsidP="00CD7A28"/>
        </w:tc>
      </w:tr>
    </w:tbl>
    <w:p w14:paraId="64F3550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569F6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12BFD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D79C6C" w14:textId="77777777" w:rsidTr="00CA2922">
        <w:tc>
          <w:tcPr>
            <w:tcW w:w="5000" w:type="pct"/>
            <w:shd w:val="clear" w:color="auto" w:fill="auto"/>
          </w:tcPr>
          <w:p w14:paraId="2E2F1042" w14:textId="580A7FB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8F90F6" w14:textId="77777777" w:rsidR="00F1480E" w:rsidRDefault="00F1480E" w:rsidP="00CD7A28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44B9172A" w14:textId="77777777" w:rsidR="00401929" w:rsidRPr="00401929" w:rsidRDefault="00401929" w:rsidP="00401929">
            <w:pPr>
              <w:pStyle w:val="SIBulletList1"/>
            </w:pPr>
            <w:r w:rsidRPr="00401929">
              <w:t>features and purpose of wine sensory evaluation techniques</w:t>
            </w:r>
          </w:p>
          <w:p w14:paraId="0BBA9262" w14:textId="77777777" w:rsidR="00401929" w:rsidRPr="00401929" w:rsidRDefault="00401929" w:rsidP="00401929">
            <w:pPr>
              <w:pStyle w:val="SIBulletList1"/>
            </w:pPr>
            <w:r w:rsidRPr="00401929">
              <w:t xml:space="preserve">features and causes of wine faults and taints, and preventative or corrective action </w:t>
            </w:r>
          </w:p>
          <w:p w14:paraId="0F8E7134" w14:textId="77777777" w:rsidR="00401929" w:rsidRPr="00401929" w:rsidRDefault="00401929" w:rsidP="00401929">
            <w:pPr>
              <w:pStyle w:val="SIBulletList1"/>
            </w:pPr>
            <w:r w:rsidRPr="00401929">
              <w:t>workplace wine tasting policy, procedures and techniques</w:t>
            </w:r>
          </w:p>
          <w:p w14:paraId="669982D3" w14:textId="77777777" w:rsidR="00401929" w:rsidRPr="00401929" w:rsidRDefault="00401929" w:rsidP="00401929">
            <w:pPr>
              <w:pStyle w:val="SIBulletList1"/>
            </w:pPr>
            <w:r w:rsidRPr="00401929">
              <w:t>optimum conditions for tasting wine:</w:t>
            </w:r>
          </w:p>
          <w:p w14:paraId="2A3CB591" w14:textId="77777777" w:rsidR="00401929" w:rsidRPr="00401929" w:rsidRDefault="00401929" w:rsidP="00401929">
            <w:pPr>
              <w:pStyle w:val="SIBulletList2"/>
            </w:pPr>
            <w:r w:rsidRPr="00401929">
              <w:t>environment</w:t>
            </w:r>
          </w:p>
          <w:p w14:paraId="760E3824" w14:textId="77777777" w:rsidR="00401929" w:rsidRPr="00401929" w:rsidRDefault="00401929" w:rsidP="00401929">
            <w:pPr>
              <w:pStyle w:val="SIBulletList2"/>
            </w:pPr>
            <w:r w:rsidRPr="00401929">
              <w:t>self and other people</w:t>
            </w:r>
          </w:p>
          <w:p w14:paraId="1A8CAD53" w14:textId="77777777" w:rsidR="00401929" w:rsidRPr="00401929" w:rsidRDefault="00401929" w:rsidP="00401929">
            <w:pPr>
              <w:pStyle w:val="SIBulletList2"/>
            </w:pPr>
            <w:r w:rsidRPr="00401929">
              <w:t>equipment and glasses</w:t>
            </w:r>
          </w:p>
          <w:p w14:paraId="21E20087" w14:textId="77777777" w:rsidR="00401929" w:rsidRPr="00401929" w:rsidRDefault="00401929" w:rsidP="00401929">
            <w:pPr>
              <w:pStyle w:val="SIBulletList2"/>
            </w:pPr>
            <w:r w:rsidRPr="00401929">
              <w:t>wine preparation</w:t>
            </w:r>
          </w:p>
          <w:p w14:paraId="763AF76F" w14:textId="77777777" w:rsidR="00401929" w:rsidRPr="00401929" w:rsidRDefault="00401929" w:rsidP="00401929">
            <w:pPr>
              <w:pStyle w:val="SIBulletList1"/>
            </w:pPr>
            <w:r w:rsidRPr="00401929">
              <w:t>factors influencing the order in which wine should be tasted</w:t>
            </w:r>
          </w:p>
          <w:p w14:paraId="4F334699" w14:textId="77777777" w:rsidR="00401929" w:rsidRPr="00401929" w:rsidRDefault="00401929" w:rsidP="00401929">
            <w:pPr>
              <w:pStyle w:val="SIBulletList1"/>
            </w:pPr>
            <w:r w:rsidRPr="00401929">
              <w:t>label terminology and meanings</w:t>
            </w:r>
          </w:p>
          <w:p w14:paraId="7D283D5C" w14:textId="77777777" w:rsidR="00401929" w:rsidRPr="00401929" w:rsidRDefault="00401929" w:rsidP="00401929">
            <w:pPr>
              <w:pStyle w:val="SIBulletList1"/>
            </w:pPr>
            <w:r w:rsidRPr="00401929">
              <w:t>characteristics of wine that can be assessed to identify key features:</w:t>
            </w:r>
          </w:p>
          <w:p w14:paraId="0BC6F434" w14:textId="77777777" w:rsidR="00401929" w:rsidRPr="00401929" w:rsidRDefault="00401929" w:rsidP="00401929">
            <w:pPr>
              <w:pStyle w:val="SIBulletList2"/>
            </w:pPr>
            <w:r w:rsidRPr="00401929">
              <w:t>country of origin</w:t>
            </w:r>
          </w:p>
          <w:p w14:paraId="6A931314" w14:textId="77777777" w:rsidR="00401929" w:rsidRPr="00401929" w:rsidRDefault="00401929" w:rsidP="00401929">
            <w:pPr>
              <w:pStyle w:val="SIBulletList2"/>
            </w:pPr>
            <w:r w:rsidRPr="00401929">
              <w:t>region of production</w:t>
            </w:r>
          </w:p>
          <w:p w14:paraId="274FDC34" w14:textId="77777777" w:rsidR="00401929" w:rsidRPr="00401929" w:rsidRDefault="00401929" w:rsidP="00401929">
            <w:pPr>
              <w:pStyle w:val="SIBulletList2"/>
            </w:pPr>
            <w:r w:rsidRPr="00401929">
              <w:t>vintage</w:t>
            </w:r>
          </w:p>
          <w:p w14:paraId="3DBF8CFC" w14:textId="77777777" w:rsidR="00401929" w:rsidRPr="00401929" w:rsidRDefault="00401929" w:rsidP="00401929">
            <w:pPr>
              <w:pStyle w:val="SIBulletList2"/>
            </w:pPr>
            <w:r w:rsidRPr="00401929">
              <w:t>winemaking and grape growing techniques</w:t>
            </w:r>
          </w:p>
          <w:p w14:paraId="78906E12" w14:textId="77777777" w:rsidR="00401929" w:rsidRPr="00401929" w:rsidRDefault="00401929" w:rsidP="00401929">
            <w:pPr>
              <w:pStyle w:val="SIBulletList2"/>
            </w:pPr>
            <w:r w:rsidRPr="00401929">
              <w:t>quality</w:t>
            </w:r>
          </w:p>
          <w:p w14:paraId="57DB902A" w14:textId="77777777" w:rsidR="00401929" w:rsidRPr="00401929" w:rsidRDefault="00401929" w:rsidP="00401929">
            <w:pPr>
              <w:pStyle w:val="SIBulletList2"/>
            </w:pPr>
            <w:r w:rsidRPr="00401929">
              <w:t>value for money</w:t>
            </w:r>
          </w:p>
          <w:p w14:paraId="1D367D31" w14:textId="77777777" w:rsidR="00401929" w:rsidRPr="00401929" w:rsidRDefault="00401929" w:rsidP="00401929">
            <w:pPr>
              <w:pStyle w:val="SIBulletList1"/>
            </w:pPr>
            <w:r w:rsidRPr="00401929">
              <w:t>common winemaking, grape growing techniques and how they can be utilised to manipulate wine style and characteristics</w:t>
            </w:r>
          </w:p>
          <w:p w14:paraId="4E6D83C9" w14:textId="3DBF101F" w:rsidR="00401929" w:rsidRPr="00401929" w:rsidRDefault="00401929" w:rsidP="00401929">
            <w:pPr>
              <w:pStyle w:val="SIBulletList1"/>
            </w:pPr>
            <w:r w:rsidRPr="00401929">
              <w:t>key Australian and world wines and organisation or wor</w:t>
            </w:r>
            <w:r w:rsidR="00D4339A">
              <w:t>kplace products, including</w:t>
            </w:r>
            <w:r w:rsidRPr="00401929">
              <w:t>:</w:t>
            </w:r>
          </w:p>
          <w:p w14:paraId="5A659EB1" w14:textId="77777777" w:rsidR="00401929" w:rsidRPr="00401929" w:rsidRDefault="00401929" w:rsidP="00401929">
            <w:pPr>
              <w:pStyle w:val="SIBulletList2"/>
            </w:pPr>
            <w:r w:rsidRPr="00401929">
              <w:t>style and taste characteristics</w:t>
            </w:r>
          </w:p>
          <w:p w14:paraId="0785E2FE" w14:textId="77777777" w:rsidR="00401929" w:rsidRPr="00401929" w:rsidRDefault="00401929" w:rsidP="00401929">
            <w:pPr>
              <w:pStyle w:val="SIBulletList2"/>
            </w:pPr>
            <w:r w:rsidRPr="00401929">
              <w:t>price</w:t>
            </w:r>
          </w:p>
          <w:p w14:paraId="3661D2F6" w14:textId="77777777" w:rsidR="00401929" w:rsidRPr="00401929" w:rsidRDefault="00401929" w:rsidP="00401929">
            <w:pPr>
              <w:pStyle w:val="SIBulletList2"/>
            </w:pPr>
            <w:r w:rsidRPr="00401929">
              <w:t>quality</w:t>
            </w:r>
          </w:p>
          <w:p w14:paraId="61E6F30B" w14:textId="77777777" w:rsidR="00401929" w:rsidRPr="00401929" w:rsidRDefault="00401929" w:rsidP="00401929">
            <w:pPr>
              <w:pStyle w:val="SIBulletList1"/>
            </w:pPr>
            <w:r w:rsidRPr="00401929">
              <w:t>key food and wine factors that will react together and which combinations create harmony and discord</w:t>
            </w:r>
          </w:p>
          <w:p w14:paraId="7406D85E" w14:textId="77777777" w:rsidR="00401929" w:rsidRPr="00401929" w:rsidRDefault="00401929" w:rsidP="00401929">
            <w:pPr>
              <w:pStyle w:val="SIBulletList1"/>
            </w:pPr>
            <w:r w:rsidRPr="00401929">
              <w:t>serving and cellaring requirements of key world and Australian wines and all workplace products</w:t>
            </w:r>
          </w:p>
          <w:p w14:paraId="45A77327" w14:textId="77777777" w:rsidR="00401929" w:rsidRDefault="00401929" w:rsidP="00401929">
            <w:pPr>
              <w:pStyle w:val="SIBulletList1"/>
            </w:pPr>
            <w:r w:rsidRPr="00401929">
              <w:t>wine factors that will determine cellaring and serving requirements, including balance of alcohol, tannin, acidity and fruit flavours</w:t>
            </w:r>
          </w:p>
          <w:p w14:paraId="5D15BFAF" w14:textId="0DC62646" w:rsidR="00594627" w:rsidRDefault="00594627" w:rsidP="00401929">
            <w:pPr>
              <w:pStyle w:val="SIBulletList1"/>
            </w:pPr>
            <w:r>
              <w:t>factors that influence the matching of food and wine</w:t>
            </w:r>
          </w:p>
          <w:p w14:paraId="05B6FCBD" w14:textId="3C115C67" w:rsidR="00594627" w:rsidRPr="00401929" w:rsidRDefault="00594627" w:rsidP="00401929">
            <w:pPr>
              <w:pStyle w:val="SIBulletList1"/>
            </w:pPr>
            <w:r>
              <w:t>comparative wine and food matching in key wine producing regions and cultures</w:t>
            </w:r>
          </w:p>
          <w:p w14:paraId="43F97350" w14:textId="77777777" w:rsidR="00401929" w:rsidRPr="00401929" w:rsidRDefault="00401929" w:rsidP="00401929">
            <w:pPr>
              <w:pStyle w:val="SIBulletList1"/>
            </w:pPr>
            <w:r w:rsidRPr="00401929">
              <w:t>factors that detrimentally affect the quality of wine during cellaring:</w:t>
            </w:r>
          </w:p>
          <w:p w14:paraId="53C99D3A" w14:textId="77777777" w:rsidR="00401929" w:rsidRPr="00401929" w:rsidRDefault="00401929" w:rsidP="00401929">
            <w:pPr>
              <w:pStyle w:val="SIBulletList2"/>
            </w:pPr>
            <w:r w:rsidRPr="00401929">
              <w:t>temperature</w:t>
            </w:r>
          </w:p>
          <w:p w14:paraId="78A199C0" w14:textId="77777777" w:rsidR="00401929" w:rsidRPr="00401929" w:rsidRDefault="00401929" w:rsidP="00401929">
            <w:pPr>
              <w:pStyle w:val="SIBulletList2"/>
            </w:pPr>
            <w:r w:rsidRPr="00401929">
              <w:t>humidity</w:t>
            </w:r>
          </w:p>
          <w:p w14:paraId="6A94593A" w14:textId="77777777" w:rsidR="00401929" w:rsidRPr="00401929" w:rsidRDefault="00401929" w:rsidP="00401929">
            <w:pPr>
              <w:pStyle w:val="SIBulletList2"/>
            </w:pPr>
            <w:r w:rsidRPr="00401929">
              <w:t>ultraviolet (UV) light</w:t>
            </w:r>
          </w:p>
          <w:p w14:paraId="582FF749" w14:textId="77777777" w:rsidR="00401929" w:rsidRPr="00401929" w:rsidRDefault="00401929" w:rsidP="00401929">
            <w:pPr>
              <w:pStyle w:val="SIBulletList2"/>
            </w:pPr>
            <w:r w:rsidRPr="00401929">
              <w:t>vibrations</w:t>
            </w:r>
          </w:p>
          <w:p w14:paraId="432E96F8" w14:textId="77777777" w:rsidR="00401929" w:rsidRPr="00401929" w:rsidRDefault="00401929" w:rsidP="00401929">
            <w:pPr>
              <w:pStyle w:val="SIBulletList1"/>
            </w:pPr>
            <w:r w:rsidRPr="00401929">
              <w:t>workplace procedures and responsibilities relating to evaluation wines and area of responsibility:</w:t>
            </w:r>
          </w:p>
          <w:p w14:paraId="6D626DB3" w14:textId="77777777" w:rsidR="00401929" w:rsidRPr="00401929" w:rsidRDefault="00401929" w:rsidP="00401929">
            <w:pPr>
              <w:pStyle w:val="SIBulletList2"/>
            </w:pPr>
            <w:r w:rsidRPr="00401929">
              <w:lastRenderedPageBreak/>
              <w:t>work health and safety hazards and controls</w:t>
            </w:r>
          </w:p>
          <w:p w14:paraId="74176269" w14:textId="77777777" w:rsidR="00401929" w:rsidRPr="00401929" w:rsidRDefault="00401929" w:rsidP="00401929">
            <w:pPr>
              <w:pStyle w:val="SIBulletList2"/>
            </w:pPr>
            <w:r w:rsidRPr="00401929">
              <w:t>reporting problems</w:t>
            </w:r>
          </w:p>
          <w:p w14:paraId="71FD88EF" w14:textId="77777777" w:rsidR="00D4339A" w:rsidRDefault="00401929" w:rsidP="00D4339A">
            <w:pPr>
              <w:pStyle w:val="SIBulletList2"/>
            </w:pPr>
            <w:r w:rsidRPr="00401929">
              <w:t>house</w:t>
            </w:r>
            <w:r w:rsidR="00D4339A">
              <w:t>keeping requirements</w:t>
            </w:r>
          </w:p>
          <w:p w14:paraId="401CE699" w14:textId="0F2AF3C0" w:rsidR="00401929" w:rsidRPr="00D4339A" w:rsidRDefault="00D4339A" w:rsidP="00D4339A">
            <w:pPr>
              <w:pStyle w:val="SIBulletList2"/>
            </w:pPr>
            <w:r>
              <w:t>recording requirements.</w:t>
            </w:r>
          </w:p>
          <w:p w14:paraId="2FC74610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C988F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23093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B60D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279B244" w14:textId="77777777" w:rsidTr="00CA2922">
        <w:tc>
          <w:tcPr>
            <w:tcW w:w="5000" w:type="pct"/>
            <w:shd w:val="clear" w:color="auto" w:fill="auto"/>
          </w:tcPr>
          <w:p w14:paraId="2D304021" w14:textId="48BC5803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F190A08" w14:textId="77777777" w:rsidR="00401929" w:rsidRPr="00401929" w:rsidRDefault="00401929" w:rsidP="00401929">
            <w:pPr>
              <w:pStyle w:val="SIBulletList1"/>
            </w:pPr>
            <w:r w:rsidRPr="00401929">
              <w:t>physical conditions:</w:t>
            </w:r>
          </w:p>
          <w:p w14:paraId="6EA298CA" w14:textId="0AB2A7D5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a workplace or an environment that accurately represents workplace conditions</w:t>
            </w:r>
          </w:p>
          <w:p w14:paraId="6ECC6CF3" w14:textId="77777777" w:rsidR="00401929" w:rsidRPr="00401929" w:rsidRDefault="00401929" w:rsidP="00401929">
            <w:pPr>
              <w:pStyle w:val="SIBulletList1"/>
            </w:pPr>
            <w:r w:rsidRPr="00401929">
              <w:t>resources, equipment and materials:</w:t>
            </w:r>
          </w:p>
          <w:p w14:paraId="337C91F3" w14:textId="77777777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wine and equipment for tasting and evaluating</w:t>
            </w:r>
          </w:p>
          <w:p w14:paraId="4CF7F1DD" w14:textId="2E1102D8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cleaning materials and equipment</w:t>
            </w:r>
          </w:p>
          <w:p w14:paraId="5F069C47" w14:textId="77777777" w:rsidR="00401929" w:rsidRPr="00401929" w:rsidRDefault="00401929" w:rsidP="00401929">
            <w:pPr>
              <w:pStyle w:val="SIBulletList1"/>
              <w:rPr>
                <w:rFonts w:eastAsia="Calibri"/>
              </w:rPr>
            </w:pPr>
            <w:r w:rsidRPr="00401929">
              <w:rPr>
                <w:rFonts w:eastAsia="Calibri"/>
              </w:rPr>
              <w:t>specifications:</w:t>
            </w:r>
          </w:p>
          <w:p w14:paraId="1BA62656" w14:textId="1112C2B4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work instructions and workplace procedures relating to wine tasting and evaluation (advanced</w:t>
            </w:r>
            <w:r w:rsidR="00D4339A">
              <w:rPr>
                <w:rFonts w:eastAsia="Calibri"/>
              </w:rPr>
              <w:t>)</w:t>
            </w:r>
          </w:p>
          <w:p w14:paraId="50198337" w14:textId="77777777" w:rsidR="00401929" w:rsidRPr="00401929" w:rsidRDefault="00401929" w:rsidP="00401929">
            <w:pPr>
              <w:pStyle w:val="SIBulletList1"/>
            </w:pPr>
            <w:r w:rsidRPr="00401929">
              <w:t>relationships (internal and/or external):</w:t>
            </w:r>
          </w:p>
          <w:p w14:paraId="7DCBA3E0" w14:textId="77777777" w:rsidR="00401929" w:rsidRPr="00401929" w:rsidRDefault="00401929" w:rsidP="00401929">
            <w:pPr>
              <w:pStyle w:val="SIBulletList2"/>
            </w:pPr>
            <w:r w:rsidRPr="00401929">
              <w:t>customers or industry personnel to communicate with during wine tasting and evaluation (advanced).</w:t>
            </w:r>
          </w:p>
          <w:p w14:paraId="085AD2D9" w14:textId="77777777" w:rsidR="0021210E" w:rsidRDefault="0021210E" w:rsidP="00315C97">
            <w:pPr>
              <w:pStyle w:val="SIText"/>
            </w:pPr>
          </w:p>
          <w:p w14:paraId="1F5775B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94BF818" w14:textId="77777777" w:rsidR="00F1480E" w:rsidRPr="000754EC" w:rsidRDefault="00F1480E" w:rsidP="004D4666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41B8DD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377EB61" w14:textId="77777777" w:rsidTr="004679E3">
        <w:tc>
          <w:tcPr>
            <w:tcW w:w="990" w:type="pct"/>
            <w:shd w:val="clear" w:color="auto" w:fill="auto"/>
          </w:tcPr>
          <w:p w14:paraId="6C09042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0F0FD9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39FFC0C" w14:textId="77777777" w:rsidR="00CD7A28" w:rsidRDefault="008F5B3B" w:rsidP="00CD7A28">
            <w:pPr>
              <w:pStyle w:val="SIText"/>
            </w:pPr>
            <w:hyperlink r:id="rId12" w:history="1">
              <w:r w:rsidR="00315C97" w:rsidRPr="00D611D3">
                <w:t>https://vetnet.education.gov.au/Pages/TrainingDocs.aspx?q=78b15323-cd38-483e-aad7-1159b570a5c4</w:t>
              </w:r>
            </w:hyperlink>
          </w:p>
          <w:p w14:paraId="283E921B" w14:textId="3F853070" w:rsidR="00D4339A" w:rsidRPr="000754EC" w:rsidRDefault="00D4339A" w:rsidP="00CD7A28">
            <w:pPr>
              <w:pStyle w:val="SIText"/>
            </w:pPr>
          </w:p>
        </w:tc>
      </w:tr>
    </w:tbl>
    <w:p w14:paraId="2A8DAC5A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5CC85" w16cid:durableId="1D919021"/>
  <w16cid:commentId w16cid:paraId="30640580" w16cid:durableId="1D919022"/>
  <w16cid:commentId w16cid:paraId="0833CAA8" w16cid:durableId="1D919023"/>
  <w16cid:commentId w16cid:paraId="45F249A0" w16cid:durableId="1D919024"/>
  <w16cid:commentId w16cid:paraId="7AFF5A9C" w16cid:durableId="1D919025"/>
  <w16cid:commentId w16cid:paraId="31440A8F" w16cid:durableId="1D919026"/>
  <w16cid:commentId w16cid:paraId="1A55DB68" w16cid:durableId="1D919028"/>
  <w16cid:commentId w16cid:paraId="6ACED4E2" w16cid:durableId="1D919029"/>
  <w16cid:commentId w16cid:paraId="1BC9D378" w16cid:durableId="1D91902A"/>
  <w16cid:commentId w16cid:paraId="28C275B1" w16cid:durableId="1D919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E407" w14:textId="77777777" w:rsidR="008F5B3B" w:rsidRDefault="008F5B3B" w:rsidP="00BF3F0A">
      <w:r>
        <w:separator/>
      </w:r>
    </w:p>
    <w:p w14:paraId="17F19B97" w14:textId="77777777" w:rsidR="008F5B3B" w:rsidRDefault="008F5B3B"/>
  </w:endnote>
  <w:endnote w:type="continuationSeparator" w:id="0">
    <w:p w14:paraId="074C3CC3" w14:textId="77777777" w:rsidR="008F5B3B" w:rsidRDefault="008F5B3B" w:rsidP="00BF3F0A">
      <w:r>
        <w:continuationSeparator/>
      </w:r>
    </w:p>
    <w:p w14:paraId="12C3AC2E" w14:textId="77777777" w:rsidR="008F5B3B" w:rsidRDefault="008F5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CFEA01" w14:textId="1ED0B3A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72095">
          <w:rPr>
            <w:noProof/>
          </w:rPr>
          <w:t>1</w:t>
        </w:r>
        <w:r w:rsidRPr="000754EC">
          <w:fldChar w:fldCharType="end"/>
        </w:r>
      </w:p>
      <w:p w14:paraId="0D5113A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A6C186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CDF5" w14:textId="77777777" w:rsidR="008F5B3B" w:rsidRDefault="008F5B3B" w:rsidP="00BF3F0A">
      <w:r>
        <w:separator/>
      </w:r>
    </w:p>
    <w:p w14:paraId="1D9AF8FD" w14:textId="77777777" w:rsidR="008F5B3B" w:rsidRDefault="008F5B3B"/>
  </w:footnote>
  <w:footnote w:type="continuationSeparator" w:id="0">
    <w:p w14:paraId="2F18AE12" w14:textId="77777777" w:rsidR="008F5B3B" w:rsidRDefault="008F5B3B" w:rsidP="00BF3F0A">
      <w:r>
        <w:continuationSeparator/>
      </w:r>
    </w:p>
    <w:p w14:paraId="60DAAF32" w14:textId="77777777" w:rsidR="008F5B3B" w:rsidRDefault="008F5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D7CC" w14:textId="73898685" w:rsidR="009C2650" w:rsidRPr="000754EC" w:rsidRDefault="00FF3590" w:rsidP="00146EEC">
    <w:pPr>
      <w:pStyle w:val="SIText"/>
    </w:pPr>
    <w:r>
      <w:t>FBPCDS</w:t>
    </w:r>
    <w:r w:rsidR="00401929" w:rsidRPr="00401929">
      <w:t>3001 Evaluate wines (advanced</w:t>
    </w:r>
    <w:r w:rsidR="00401929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9"/>
    <w:rsid w:val="000014B9"/>
    <w:rsid w:val="00005A15"/>
    <w:rsid w:val="0001108F"/>
    <w:rsid w:val="000115E2"/>
    <w:rsid w:val="000126D0"/>
    <w:rsid w:val="0001296A"/>
    <w:rsid w:val="00013967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1C03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02AD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5C97"/>
    <w:rsid w:val="00337E82"/>
    <w:rsid w:val="00345BD8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92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4666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713F"/>
    <w:rsid w:val="00556C4C"/>
    <w:rsid w:val="00557369"/>
    <w:rsid w:val="00564ADD"/>
    <w:rsid w:val="005708EB"/>
    <w:rsid w:val="00572095"/>
    <w:rsid w:val="00575BC6"/>
    <w:rsid w:val="00583902"/>
    <w:rsid w:val="00594627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5B3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5111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339A"/>
    <w:rsid w:val="00D54C76"/>
    <w:rsid w:val="00D62EA5"/>
    <w:rsid w:val="00D71E43"/>
    <w:rsid w:val="00D727F3"/>
    <w:rsid w:val="00D73695"/>
    <w:rsid w:val="00D810DE"/>
    <w:rsid w:val="00D87D32"/>
    <w:rsid w:val="00D91188"/>
    <w:rsid w:val="00D92C83"/>
    <w:rsid w:val="00D9680A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4AAC"/>
    <w:rsid w:val="00FA6AB1"/>
    <w:rsid w:val="00FB0ADF"/>
    <w:rsid w:val="00FB232E"/>
    <w:rsid w:val="00FD557D"/>
    <w:rsid w:val="00FE0282"/>
    <w:rsid w:val="00FE124D"/>
    <w:rsid w:val="00FE792C"/>
    <w:rsid w:val="00FF359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B3E8"/>
  <w15:docId w15:val="{5DE717E4-FC14-4DD6-95A2-965AF91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96413-158E-4B1B-A683-BC1C43DE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4.xml><?xml version="1.0" encoding="utf-8"?>
<ds:datastoreItem xmlns:ds="http://schemas.openxmlformats.org/officeDocument/2006/customXml" ds:itemID="{57D43335-4E4E-4A92-82C7-C13306E8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8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5</cp:revision>
  <cp:lastPrinted>2016-05-27T05:21:00Z</cp:lastPrinted>
  <dcterms:created xsi:type="dcterms:W3CDTF">2017-11-01T22:16:00Z</dcterms:created>
  <dcterms:modified xsi:type="dcterms:W3CDTF">2017-11-08T23:17:00Z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