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47B0A4" w14:textId="6381636C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36"/>
        <w:gridCol w:w="6992"/>
      </w:tblGrid>
      <w:tr w:rsidR="00F1480E" w14:paraId="0383C319" w14:textId="77777777" w:rsidTr="0035000E">
        <w:tc>
          <w:tcPr>
            <w:tcW w:w="2689" w:type="dxa"/>
          </w:tcPr>
          <w:p w14:paraId="18506AFB" w14:textId="6431E87B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7162" w:type="dxa"/>
          </w:tcPr>
          <w:p w14:paraId="6024EC22" w14:textId="5BF305B2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F1480E" w14:paraId="3E645321" w14:textId="77777777" w:rsidTr="0035000E">
        <w:tc>
          <w:tcPr>
            <w:tcW w:w="2689" w:type="dxa"/>
          </w:tcPr>
          <w:p w14:paraId="70E05B63" w14:textId="08AE2A99" w:rsidR="00F1480E" w:rsidRPr="000754EC" w:rsidRDefault="00F1480E" w:rsidP="000754EC">
            <w:pPr>
              <w:pStyle w:val="SIText"/>
            </w:pPr>
            <w:r w:rsidRPr="00CC451E">
              <w:t>Release</w:t>
            </w:r>
            <w:r w:rsidR="00337E82" w:rsidRPr="000754EC">
              <w:t xml:space="preserve"> </w:t>
            </w:r>
            <w:r w:rsidR="001A02A5">
              <w:t>1</w:t>
            </w:r>
          </w:p>
        </w:tc>
        <w:tc>
          <w:tcPr>
            <w:tcW w:w="7162" w:type="dxa"/>
          </w:tcPr>
          <w:p w14:paraId="6A1EE5D7" w14:textId="1CA4F63E" w:rsidR="00F1480E" w:rsidRPr="000754EC" w:rsidRDefault="0035000E" w:rsidP="009E1477">
            <w:pPr>
              <w:pStyle w:val="SIText"/>
            </w:pPr>
            <w:r w:rsidRPr="0035000E">
              <w:t xml:space="preserve">This version released with </w:t>
            </w:r>
            <w:proofErr w:type="spellStart"/>
            <w:r w:rsidRPr="0035000E">
              <w:t>FBP</w:t>
            </w:r>
            <w:proofErr w:type="spellEnd"/>
            <w:r w:rsidRPr="0035000E">
              <w:t xml:space="preserve"> Food, Beverage and Pharmaceutical Training Package version 2.0.</w:t>
            </w:r>
          </w:p>
        </w:tc>
      </w:tr>
    </w:tbl>
    <w:p w14:paraId="29D5F3A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1560"/>
        <w:gridCol w:w="5380"/>
      </w:tblGrid>
      <w:tr w:rsidR="00F1480E" w:rsidRPr="00963A46" w14:paraId="06140BFA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0FF11F45" w14:textId="22B7A659" w:rsidR="00F1480E" w:rsidRPr="000754EC" w:rsidRDefault="00032962" w:rsidP="000754EC">
            <w:pPr>
              <w:pStyle w:val="SIUNITCODE"/>
            </w:pPr>
            <w:r w:rsidRPr="00032962">
              <w:t>FBPAUD4005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30494620" w14:textId="13AB54E8" w:rsidR="00F1480E" w:rsidRPr="000754EC" w:rsidRDefault="00032962" w:rsidP="000754EC">
            <w:pPr>
              <w:pStyle w:val="SIUnittitle"/>
            </w:pPr>
            <w:r w:rsidRPr="00032962">
              <w:t>Audit bivalve mollusc growing and harvesting processes</w:t>
            </w:r>
          </w:p>
        </w:tc>
      </w:tr>
      <w:tr w:rsidR="00F1480E" w:rsidRPr="00963A46" w14:paraId="723E5CBF" w14:textId="77777777" w:rsidTr="00CA2922">
        <w:tc>
          <w:tcPr>
            <w:tcW w:w="1396" w:type="pct"/>
            <w:shd w:val="clear" w:color="auto" w:fill="auto"/>
          </w:tcPr>
          <w:p w14:paraId="5762CFF0" w14:textId="4C25C6CB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4A1C1AD6" w14:textId="5E7C0899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gridSpan w:val="2"/>
            <w:shd w:val="clear" w:color="auto" w:fill="auto"/>
          </w:tcPr>
          <w:p w14:paraId="04A4C861" w14:textId="6B1A5541" w:rsidR="00032962" w:rsidRDefault="00032962" w:rsidP="009E1477">
            <w:pPr>
              <w:pStyle w:val="SIText"/>
            </w:pPr>
            <w:r w:rsidRPr="00032962">
              <w:t>This unit of competency describes the skills and knowledge required to support a food safety audit of food safety programs of bivalve mollusc producers. The unit covers on-shore and wild growing, harvesting, cleaning, post-harvest handling and storage, stock movement, depuration and wet storage.</w:t>
            </w:r>
          </w:p>
          <w:p w14:paraId="6C457D78" w14:textId="77777777" w:rsidR="00347630" w:rsidRPr="00032962" w:rsidRDefault="00347630" w:rsidP="009E1477">
            <w:pPr>
              <w:pStyle w:val="SIText"/>
            </w:pPr>
          </w:p>
          <w:p w14:paraId="40A7DF2B" w14:textId="7F876703" w:rsidR="00032962" w:rsidRPr="00032962" w:rsidRDefault="00032962" w:rsidP="009E1477">
            <w:pPr>
              <w:pStyle w:val="SIText"/>
            </w:pPr>
            <w:r w:rsidRPr="00032962">
              <w:t xml:space="preserve">This unit applies to individuals who are responsible for auditing a bivalve mollusc growing and harvesting process. These audits would typically occur within the context of auditing a food safety program that defines related prerequisite program requirements. The audits </w:t>
            </w:r>
            <w:proofErr w:type="gramStart"/>
            <w:r w:rsidRPr="00032962">
              <w:t>are supported</w:t>
            </w:r>
            <w:proofErr w:type="gramEnd"/>
            <w:r w:rsidRPr="00032962">
              <w:t xml:space="preserve"> by state and territory government regulations for prescribing processes and requirements relating to the production of bivalve molluscs.</w:t>
            </w:r>
          </w:p>
          <w:p w14:paraId="63B62A15" w14:textId="77777777" w:rsidR="00347630" w:rsidRDefault="00347630" w:rsidP="009E1477">
            <w:pPr>
              <w:pStyle w:val="SIText"/>
            </w:pPr>
          </w:p>
          <w:p w14:paraId="03295BBA" w14:textId="7112C24D" w:rsidR="00032962" w:rsidRDefault="00032962" w:rsidP="009E1477">
            <w:pPr>
              <w:pStyle w:val="SIText"/>
            </w:pPr>
            <w:r w:rsidRPr="00032962">
              <w:t>This unit does not cover the skills and knowledge to audit the classification of growing areas.</w:t>
            </w:r>
          </w:p>
          <w:p w14:paraId="77B508AB" w14:textId="77777777" w:rsidR="00347630" w:rsidRPr="00032962" w:rsidRDefault="00347630" w:rsidP="009E1477">
            <w:pPr>
              <w:pStyle w:val="SIText"/>
            </w:pPr>
          </w:p>
          <w:p w14:paraId="64B09FA5" w14:textId="707C7FD4" w:rsidR="00032962" w:rsidRDefault="00032962" w:rsidP="009E1477">
            <w:pPr>
              <w:pStyle w:val="SIText"/>
            </w:pPr>
            <w:r w:rsidRPr="00032962">
              <w:t xml:space="preserve">This unit supports relevant legislation, including food standards </w:t>
            </w:r>
            <w:r w:rsidR="00190936">
              <w:t>included</w:t>
            </w:r>
            <w:r w:rsidR="00190936" w:rsidRPr="00032962">
              <w:t xml:space="preserve"> </w:t>
            </w:r>
            <w:r w:rsidRPr="00032962">
              <w:t>in the Food Standards Code</w:t>
            </w:r>
            <w:r w:rsidR="000C2E48">
              <w:t xml:space="preserve">, the </w:t>
            </w:r>
            <w:r w:rsidR="000C2E48" w:rsidRPr="000C2E48">
              <w:t xml:space="preserve">National regulatory </w:t>
            </w:r>
            <w:proofErr w:type="gramStart"/>
            <w:r w:rsidR="000C2E48" w:rsidRPr="000C2E48">
              <w:t>food safety auditor guideline</w:t>
            </w:r>
            <w:proofErr w:type="gramEnd"/>
            <w:r w:rsidR="000C2E48" w:rsidRPr="000C2E48">
              <w:t xml:space="preserve"> and policy </w:t>
            </w:r>
            <w:r w:rsidRPr="00032962">
              <w:t>and industry codes of practice relating to validation and verification of a food safety program,</w:t>
            </w:r>
            <w:r w:rsidR="000C2E48">
              <w:t xml:space="preserve"> </w:t>
            </w:r>
            <w:r w:rsidRPr="00032962">
              <w:t>and should be read in conjunction with these documents.</w:t>
            </w:r>
          </w:p>
          <w:p w14:paraId="04D7179A" w14:textId="77777777" w:rsidR="00347630" w:rsidRPr="00032962" w:rsidRDefault="00347630" w:rsidP="009E1477">
            <w:pPr>
              <w:pStyle w:val="SIText"/>
            </w:pPr>
          </w:p>
          <w:p w14:paraId="50F50080" w14:textId="77777777" w:rsidR="00F1480E" w:rsidRDefault="00032962" w:rsidP="009E1477">
            <w:pPr>
              <w:pStyle w:val="SIText"/>
            </w:pPr>
            <w:r w:rsidRPr="00032962">
              <w:t>Both regulatory and commercial audit system owners may specify additional certification requirements of auditors eligible to audit food safety programs within their system.</w:t>
            </w:r>
          </w:p>
          <w:p w14:paraId="70546F4A" w14:textId="7F6404B2" w:rsidR="008157D5" w:rsidRPr="000754EC" w:rsidRDefault="008157D5" w:rsidP="009E1477">
            <w:pPr>
              <w:pStyle w:val="SIText"/>
            </w:pPr>
          </w:p>
        </w:tc>
      </w:tr>
      <w:tr w:rsidR="00032962" w:rsidRPr="00963A46" w14:paraId="6FA203B2" w14:textId="77777777" w:rsidTr="00032962">
        <w:tc>
          <w:tcPr>
            <w:tcW w:w="1396" w:type="pct"/>
            <w:shd w:val="clear" w:color="auto" w:fill="auto"/>
          </w:tcPr>
          <w:p w14:paraId="5D78F6C2" w14:textId="44BFDEDA" w:rsidR="00032962" w:rsidRPr="00032962" w:rsidRDefault="00032962" w:rsidP="00032962">
            <w:pPr>
              <w:pStyle w:val="SIHeading2"/>
            </w:pPr>
            <w:r w:rsidRPr="00032962">
              <w:t>Prerequisite Unit</w:t>
            </w:r>
          </w:p>
        </w:tc>
        <w:tc>
          <w:tcPr>
            <w:tcW w:w="810" w:type="pct"/>
            <w:shd w:val="clear" w:color="auto" w:fill="auto"/>
          </w:tcPr>
          <w:p w14:paraId="5A513750" w14:textId="7340DC74" w:rsidR="00032962" w:rsidRPr="00032962" w:rsidRDefault="00032962" w:rsidP="00032962">
            <w:pPr>
              <w:pStyle w:val="SIText"/>
            </w:pPr>
            <w:r w:rsidRPr="00032962">
              <w:t>F</w:t>
            </w:r>
            <w:r w:rsidR="001A02A5">
              <w:t>BP</w:t>
            </w:r>
            <w:r w:rsidRPr="00032962">
              <w:t>AU</w:t>
            </w:r>
            <w:r w:rsidR="001A02A5">
              <w:t>D</w:t>
            </w:r>
            <w:r w:rsidRPr="00032962">
              <w:t>4002</w:t>
            </w:r>
          </w:p>
        </w:tc>
        <w:tc>
          <w:tcPr>
            <w:tcW w:w="2794" w:type="pct"/>
            <w:shd w:val="clear" w:color="auto" w:fill="auto"/>
          </w:tcPr>
          <w:p w14:paraId="049F558F" w14:textId="7DA9E983" w:rsidR="00032962" w:rsidRPr="00032962" w:rsidRDefault="00032962">
            <w:pPr>
              <w:pStyle w:val="SIText"/>
            </w:pPr>
            <w:r w:rsidRPr="00032962">
              <w:t>Communicate and negotiate to conduct food safety audits</w:t>
            </w:r>
          </w:p>
        </w:tc>
      </w:tr>
      <w:tr w:rsidR="00032962" w:rsidRPr="00963A46" w14:paraId="5542DCC1" w14:textId="77777777" w:rsidTr="00032962">
        <w:tc>
          <w:tcPr>
            <w:tcW w:w="1396" w:type="pct"/>
            <w:shd w:val="clear" w:color="auto" w:fill="auto"/>
          </w:tcPr>
          <w:p w14:paraId="37917F1F" w14:textId="77777777" w:rsidR="00032962" w:rsidRPr="00032962" w:rsidRDefault="00032962" w:rsidP="00032962">
            <w:pPr>
              <w:pStyle w:val="SIHeading2"/>
            </w:pPr>
          </w:p>
        </w:tc>
        <w:tc>
          <w:tcPr>
            <w:tcW w:w="810" w:type="pct"/>
            <w:shd w:val="clear" w:color="auto" w:fill="auto"/>
          </w:tcPr>
          <w:p w14:paraId="700EF883" w14:textId="0B820EED" w:rsidR="00032962" w:rsidRPr="00032962" w:rsidRDefault="00032962" w:rsidP="001A02A5">
            <w:pPr>
              <w:pStyle w:val="SIText"/>
            </w:pPr>
            <w:r w:rsidRPr="00032962">
              <w:t>F</w:t>
            </w:r>
            <w:r w:rsidR="001A02A5">
              <w:t>BP</w:t>
            </w:r>
            <w:r w:rsidRPr="00032962">
              <w:t>AU</w:t>
            </w:r>
            <w:r w:rsidR="001A02A5">
              <w:t>D</w:t>
            </w:r>
            <w:r w:rsidRPr="00032962">
              <w:t>4003</w:t>
            </w:r>
          </w:p>
        </w:tc>
        <w:tc>
          <w:tcPr>
            <w:tcW w:w="2794" w:type="pct"/>
            <w:shd w:val="clear" w:color="auto" w:fill="auto"/>
          </w:tcPr>
          <w:p w14:paraId="63C69B5B" w14:textId="7A7051E1" w:rsidR="00032962" w:rsidRPr="00032962" w:rsidRDefault="00032962">
            <w:pPr>
              <w:pStyle w:val="SIText"/>
            </w:pPr>
            <w:r w:rsidRPr="00032962">
              <w:t>Conduct food safety audits</w:t>
            </w:r>
          </w:p>
        </w:tc>
      </w:tr>
      <w:tr w:rsidR="00032962" w:rsidRPr="00963A46" w14:paraId="2F154480" w14:textId="77777777" w:rsidTr="00032962">
        <w:tc>
          <w:tcPr>
            <w:tcW w:w="1396" w:type="pct"/>
            <w:shd w:val="clear" w:color="auto" w:fill="auto"/>
          </w:tcPr>
          <w:p w14:paraId="5A64E386" w14:textId="77777777" w:rsidR="00032962" w:rsidRPr="00032962" w:rsidRDefault="00032962" w:rsidP="00032962">
            <w:pPr>
              <w:pStyle w:val="SIHeading2"/>
            </w:pPr>
          </w:p>
        </w:tc>
        <w:tc>
          <w:tcPr>
            <w:tcW w:w="810" w:type="pct"/>
            <w:shd w:val="clear" w:color="auto" w:fill="auto"/>
          </w:tcPr>
          <w:p w14:paraId="4856ACE0" w14:textId="77DB07D2" w:rsidR="00032962" w:rsidRPr="00032962" w:rsidRDefault="00032962" w:rsidP="00032962">
            <w:pPr>
              <w:pStyle w:val="SIText"/>
            </w:pPr>
            <w:commentRangeStart w:id="0"/>
            <w:r w:rsidRPr="00032962">
              <w:t>F</w:t>
            </w:r>
            <w:r w:rsidR="001A02A5">
              <w:t>BP</w:t>
            </w:r>
            <w:r w:rsidRPr="00032962">
              <w:t>AU</w:t>
            </w:r>
            <w:r w:rsidR="001A02A5">
              <w:t>D</w:t>
            </w:r>
            <w:r w:rsidRPr="00032962">
              <w:t>4004</w:t>
            </w:r>
          </w:p>
        </w:tc>
        <w:tc>
          <w:tcPr>
            <w:tcW w:w="2794" w:type="pct"/>
            <w:shd w:val="clear" w:color="auto" w:fill="auto"/>
          </w:tcPr>
          <w:p w14:paraId="6B797F4B" w14:textId="4202185A" w:rsidR="00032962" w:rsidRPr="00032962" w:rsidRDefault="00032962">
            <w:pPr>
              <w:pStyle w:val="SIText"/>
            </w:pPr>
            <w:r w:rsidRPr="00032962">
              <w:t>Identify, evaluate and control food safety hazards</w:t>
            </w:r>
            <w:commentRangeEnd w:id="0"/>
            <w:r w:rsidR="00190936">
              <w:rPr>
                <w:lang w:eastAsia="en-AU"/>
              </w:rPr>
              <w:commentReference w:id="0"/>
            </w:r>
          </w:p>
        </w:tc>
      </w:tr>
      <w:tr w:rsidR="00032962" w:rsidRPr="00963A46" w14:paraId="6A27A30B" w14:textId="77777777" w:rsidTr="00CA2922">
        <w:tc>
          <w:tcPr>
            <w:tcW w:w="1396" w:type="pct"/>
            <w:shd w:val="clear" w:color="auto" w:fill="auto"/>
          </w:tcPr>
          <w:p w14:paraId="3574BF12" w14:textId="00F4AD5D" w:rsidR="00032962" w:rsidRPr="00032962" w:rsidRDefault="00032962" w:rsidP="00032962">
            <w:pPr>
              <w:pStyle w:val="SIHeading2"/>
            </w:pPr>
            <w:r w:rsidRPr="00032962">
              <w:t>Unit Sector</w:t>
            </w:r>
          </w:p>
        </w:tc>
        <w:tc>
          <w:tcPr>
            <w:tcW w:w="3604" w:type="pct"/>
            <w:gridSpan w:val="2"/>
            <w:shd w:val="clear" w:color="auto" w:fill="auto"/>
          </w:tcPr>
          <w:p w14:paraId="5AD2F5AC" w14:textId="10C2BEF1" w:rsidR="00032962" w:rsidRPr="00032962" w:rsidRDefault="00032962">
            <w:pPr>
              <w:pStyle w:val="SIText"/>
            </w:pPr>
            <w:r w:rsidRPr="00032962">
              <w:t>Food safety auditing (AU</w:t>
            </w:r>
            <w:r w:rsidR="00362CA0">
              <w:t>D</w:t>
            </w:r>
            <w:r w:rsidRPr="00032962">
              <w:t>)</w:t>
            </w:r>
          </w:p>
        </w:tc>
      </w:tr>
    </w:tbl>
    <w:p w14:paraId="0DA6DBDA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70EAC1F2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54D0187" w14:textId="27FC6D9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6406EE4" w14:textId="4972D092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7CE46F63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791F45B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3FC17CFB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032962" w:rsidRPr="00963A46" w14:paraId="488D3012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29230BC" w14:textId="20E2538E" w:rsidR="00032962" w:rsidRPr="00032962" w:rsidRDefault="00032962">
            <w:pPr>
              <w:pStyle w:val="SIText"/>
            </w:pPr>
            <w:r>
              <w:t xml:space="preserve">1. </w:t>
            </w:r>
            <w:r w:rsidRPr="00032962">
              <w:t>Identify and assess food safety hazards and related control options for growing and harvesting bivalve molluscs</w:t>
            </w:r>
          </w:p>
        </w:tc>
        <w:tc>
          <w:tcPr>
            <w:tcW w:w="3604" w:type="pct"/>
            <w:shd w:val="clear" w:color="auto" w:fill="auto"/>
          </w:tcPr>
          <w:p w14:paraId="4C879860" w14:textId="0F8F8EDE" w:rsidR="00032962" w:rsidRPr="00032962" w:rsidRDefault="00032962" w:rsidP="009E1477">
            <w:pPr>
              <w:pStyle w:val="SIText"/>
            </w:pPr>
            <w:r w:rsidRPr="00032962">
              <w:t>1.1</w:t>
            </w:r>
            <w:r>
              <w:t xml:space="preserve"> </w:t>
            </w:r>
            <w:r w:rsidRPr="00032962">
              <w:t>Identify microbiological food safety hazards that could present a risk in bivalve molluscs at the point of consumption by type and origin and assessed to determine risk level and control requirements</w:t>
            </w:r>
          </w:p>
          <w:p w14:paraId="08ED8AE5" w14:textId="744C25D8" w:rsidR="00032962" w:rsidRPr="00032962" w:rsidRDefault="00032962" w:rsidP="009E1477">
            <w:pPr>
              <w:pStyle w:val="SIText"/>
            </w:pPr>
            <w:r w:rsidRPr="00032962">
              <w:t>1.2</w:t>
            </w:r>
            <w:r>
              <w:t xml:space="preserve"> </w:t>
            </w:r>
            <w:r w:rsidRPr="00032962">
              <w:t>Identify chemical food safety hazards that could present a risk in bivalve molluscs at the point of consumption, including toxin presence, by type and assessed to determine risk level and control requirements</w:t>
            </w:r>
          </w:p>
          <w:p w14:paraId="32BE45EC" w14:textId="57A19763" w:rsidR="00032962" w:rsidRPr="00032962" w:rsidRDefault="00032962">
            <w:pPr>
              <w:pStyle w:val="SIText"/>
            </w:pPr>
            <w:r w:rsidRPr="00032962">
              <w:t>1.3</w:t>
            </w:r>
            <w:r>
              <w:t xml:space="preserve"> </w:t>
            </w:r>
            <w:r w:rsidRPr="00032962">
              <w:t>Identify control requirements and methods to ensure that bivalve molluscs meet food safety objectives</w:t>
            </w:r>
          </w:p>
        </w:tc>
      </w:tr>
      <w:tr w:rsidR="00032962" w:rsidRPr="00963A46" w14:paraId="524B7678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6B7A0B5D" w14:textId="58D163E7" w:rsidR="00032962" w:rsidRPr="00032962" w:rsidRDefault="00032962">
            <w:pPr>
              <w:pStyle w:val="SIText"/>
            </w:pPr>
            <w:r w:rsidRPr="00032962">
              <w:t>2</w:t>
            </w:r>
            <w:r>
              <w:t xml:space="preserve">. </w:t>
            </w:r>
            <w:r w:rsidRPr="00032962">
              <w:t>Confirm that appropriate evidence supports validation of growing and harvesting bivalve molluscs</w:t>
            </w:r>
          </w:p>
        </w:tc>
        <w:tc>
          <w:tcPr>
            <w:tcW w:w="3604" w:type="pct"/>
            <w:shd w:val="clear" w:color="auto" w:fill="auto"/>
          </w:tcPr>
          <w:p w14:paraId="0486C2BC" w14:textId="5518A0CA" w:rsidR="00032962" w:rsidRPr="00032962" w:rsidRDefault="00032962" w:rsidP="009E1477">
            <w:pPr>
              <w:pStyle w:val="SIText"/>
            </w:pPr>
            <w:r w:rsidRPr="00032962">
              <w:t>2.1</w:t>
            </w:r>
            <w:r>
              <w:t xml:space="preserve"> </w:t>
            </w:r>
            <w:r w:rsidRPr="00032962">
              <w:t>Review validation evidence and records to confirm that an appropriate level of validation has been applied</w:t>
            </w:r>
          </w:p>
          <w:p w14:paraId="605259CA" w14:textId="4061AD46" w:rsidR="00032962" w:rsidRPr="00032962" w:rsidRDefault="00032962">
            <w:pPr>
              <w:pStyle w:val="SIText"/>
            </w:pPr>
            <w:r w:rsidRPr="00032962">
              <w:t>2.2</w:t>
            </w:r>
            <w:r>
              <w:t xml:space="preserve"> </w:t>
            </w:r>
            <w:r w:rsidRPr="00032962">
              <w:t>Identify and assess evidence used by the business to validate the process to confirm that it is credible and adequate to meet the food safety objective</w:t>
            </w:r>
          </w:p>
        </w:tc>
      </w:tr>
      <w:tr w:rsidR="00032962" w:rsidRPr="00032962" w14:paraId="6A4A40F7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340CBC80" w14:textId="3AA34B34" w:rsidR="00032962" w:rsidRPr="00032962" w:rsidRDefault="00032962">
            <w:pPr>
              <w:pStyle w:val="SIText"/>
            </w:pPr>
            <w:r w:rsidRPr="00032962">
              <w:lastRenderedPageBreak/>
              <w:t>3</w:t>
            </w:r>
            <w:r>
              <w:t xml:space="preserve">. </w:t>
            </w:r>
            <w:r w:rsidRPr="00032962">
              <w:t>Verify bivalve mollusc growing and harvesting processes</w:t>
            </w:r>
          </w:p>
        </w:tc>
        <w:tc>
          <w:tcPr>
            <w:tcW w:w="3604" w:type="pct"/>
            <w:shd w:val="clear" w:color="auto" w:fill="auto"/>
          </w:tcPr>
          <w:p w14:paraId="5CD8C8B6" w14:textId="259ADC1A" w:rsidR="00032962" w:rsidRPr="00032962" w:rsidRDefault="00032962" w:rsidP="009E1477">
            <w:pPr>
              <w:pStyle w:val="SIText"/>
            </w:pPr>
            <w:r w:rsidRPr="00032962">
              <w:t>3.1</w:t>
            </w:r>
            <w:r>
              <w:t xml:space="preserve"> </w:t>
            </w:r>
            <w:r w:rsidRPr="00032962">
              <w:t xml:space="preserve">Identify, collect and review system records required to support verification against relevant shellfish quality programs </w:t>
            </w:r>
          </w:p>
          <w:p w14:paraId="0398DCB7" w14:textId="6A47EFAC" w:rsidR="00032962" w:rsidRPr="00032962" w:rsidRDefault="00032962" w:rsidP="009E1477">
            <w:pPr>
              <w:pStyle w:val="SIText"/>
            </w:pPr>
            <w:r w:rsidRPr="00032962">
              <w:t>3.2</w:t>
            </w:r>
            <w:r>
              <w:t xml:space="preserve"> </w:t>
            </w:r>
            <w:r w:rsidRPr="00032962">
              <w:t>Review business documentation and conduct inspections to confirm that facilities and equipment design and components comply with regulatory and business standards</w:t>
            </w:r>
          </w:p>
          <w:p w14:paraId="6E2A5D4D" w14:textId="18AB8552" w:rsidR="00032962" w:rsidRPr="00032962" w:rsidRDefault="00032962">
            <w:pPr>
              <w:pStyle w:val="SIText"/>
            </w:pPr>
            <w:r w:rsidRPr="00032962">
              <w:t>3.3</w:t>
            </w:r>
            <w:r>
              <w:t xml:space="preserve"> </w:t>
            </w:r>
            <w:r w:rsidRPr="00032962">
              <w:t>Review business documentation and conduct inspections to confirm that operational monitoring and testing procedures and frequency meet regulatory requirements, industry and business standards</w:t>
            </w:r>
          </w:p>
        </w:tc>
      </w:tr>
    </w:tbl>
    <w:p w14:paraId="3DAB3672" w14:textId="7ECACBF5" w:rsidR="005F771F" w:rsidRPr="00032962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37ECE2D9" w14:textId="77777777" w:rsidTr="00CA2922">
        <w:trPr>
          <w:tblHeader/>
        </w:trPr>
        <w:tc>
          <w:tcPr>
            <w:tcW w:w="5000" w:type="pct"/>
            <w:gridSpan w:val="2"/>
          </w:tcPr>
          <w:p w14:paraId="6C5490C6" w14:textId="1EB0FAE5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0342E236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14118749" w14:textId="77777777" w:rsidTr="00CA2922">
        <w:trPr>
          <w:tblHeader/>
        </w:trPr>
        <w:tc>
          <w:tcPr>
            <w:tcW w:w="1396" w:type="pct"/>
          </w:tcPr>
          <w:p w14:paraId="15C75F47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1C9ED30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032962" w:rsidRPr="00336FCA" w:rsidDel="00423CB2" w14:paraId="7E89E6AA" w14:textId="77777777" w:rsidTr="00CA2922">
        <w:tc>
          <w:tcPr>
            <w:tcW w:w="1396" w:type="pct"/>
          </w:tcPr>
          <w:p w14:paraId="7F7FBEA7" w14:textId="4B90946F" w:rsidR="00032962" w:rsidRPr="00032962" w:rsidRDefault="00032962" w:rsidP="00032962">
            <w:pPr>
              <w:pStyle w:val="SIText"/>
            </w:pPr>
            <w:r w:rsidRPr="00032962">
              <w:t>Reading</w:t>
            </w:r>
          </w:p>
        </w:tc>
        <w:tc>
          <w:tcPr>
            <w:tcW w:w="3604" w:type="pct"/>
          </w:tcPr>
          <w:p w14:paraId="7A2F2ACD" w14:textId="16E4CEBD" w:rsidR="00032962" w:rsidRPr="00032962" w:rsidRDefault="00032962">
            <w:pPr>
              <w:pStyle w:val="SIBulletList1"/>
            </w:pPr>
            <w:r w:rsidRPr="00032962">
              <w:t>Interpret</w:t>
            </w:r>
            <w:r w:rsidR="001A02A5">
              <w:t>s</w:t>
            </w:r>
            <w:r w:rsidRPr="00032962">
              <w:t xml:space="preserve"> information relating to food safety and audit guidelines</w:t>
            </w:r>
          </w:p>
        </w:tc>
      </w:tr>
      <w:tr w:rsidR="00032962" w:rsidRPr="00336FCA" w:rsidDel="00423CB2" w14:paraId="21F0DA14" w14:textId="77777777" w:rsidTr="00CA2922">
        <w:tc>
          <w:tcPr>
            <w:tcW w:w="1396" w:type="pct"/>
          </w:tcPr>
          <w:p w14:paraId="08001A03" w14:textId="635A70DF" w:rsidR="00032962" w:rsidRPr="00032962" w:rsidRDefault="00032962">
            <w:pPr>
              <w:pStyle w:val="SIText"/>
            </w:pPr>
            <w:r w:rsidRPr="00032962">
              <w:t>Navigate the world of work</w:t>
            </w:r>
          </w:p>
        </w:tc>
        <w:tc>
          <w:tcPr>
            <w:tcW w:w="3604" w:type="pct"/>
          </w:tcPr>
          <w:p w14:paraId="1FA912E6" w14:textId="1CFB61EF" w:rsidR="00032962" w:rsidRPr="00032962" w:rsidRDefault="00032962">
            <w:pPr>
              <w:pStyle w:val="SIBulletList1"/>
            </w:pPr>
            <w:r w:rsidRPr="00032962">
              <w:t>Appl</w:t>
            </w:r>
            <w:r w:rsidR="001A02A5">
              <w:t>ies</w:t>
            </w:r>
            <w:r w:rsidRPr="00032962">
              <w:t xml:space="preserve"> knowledge of regulations and policies relevant to food safety standards in the workplace</w:t>
            </w:r>
          </w:p>
          <w:p w14:paraId="06F28BFB" w14:textId="76FC6B19" w:rsidR="00032962" w:rsidRPr="00032962" w:rsidRDefault="00032962">
            <w:pPr>
              <w:pStyle w:val="SIBulletList1"/>
              <w:rPr>
                <w:rFonts w:eastAsia="Calibri"/>
              </w:rPr>
            </w:pPr>
            <w:r w:rsidRPr="00032962">
              <w:t>Monitor</w:t>
            </w:r>
            <w:r w:rsidR="001A02A5">
              <w:t>s</w:t>
            </w:r>
            <w:r w:rsidRPr="00032962">
              <w:t xml:space="preserve"> adherence to legal and regulatory standards and responsibilities </w:t>
            </w:r>
          </w:p>
        </w:tc>
      </w:tr>
      <w:tr w:rsidR="00032962" w:rsidRPr="00336FCA" w:rsidDel="00423CB2" w14:paraId="082200D6" w14:textId="77777777" w:rsidTr="00CA2922">
        <w:tc>
          <w:tcPr>
            <w:tcW w:w="1396" w:type="pct"/>
          </w:tcPr>
          <w:p w14:paraId="746FC6F5" w14:textId="2FB5718B" w:rsidR="00032962" w:rsidRPr="00032962" w:rsidRDefault="00032962">
            <w:pPr>
              <w:pStyle w:val="SIText"/>
            </w:pPr>
            <w:r w:rsidRPr="00032962">
              <w:t>Get the work done</w:t>
            </w:r>
          </w:p>
        </w:tc>
        <w:tc>
          <w:tcPr>
            <w:tcW w:w="3604" w:type="pct"/>
          </w:tcPr>
          <w:p w14:paraId="7F30A474" w14:textId="705EC06A" w:rsidR="00032962" w:rsidRPr="00032962" w:rsidRDefault="00032962">
            <w:pPr>
              <w:pStyle w:val="SIBulletList1"/>
              <w:rPr>
                <w:rFonts w:eastAsia="Calibri"/>
              </w:rPr>
            </w:pPr>
            <w:r w:rsidRPr="00032962">
              <w:t>Use</w:t>
            </w:r>
            <w:r w:rsidR="001A02A5">
              <w:t>s</w:t>
            </w:r>
            <w:r w:rsidRPr="00032962">
              <w:t xml:space="preserve"> problem solving skills to identify and analyse non-conformance</w:t>
            </w:r>
          </w:p>
        </w:tc>
      </w:tr>
    </w:tbl>
    <w:p w14:paraId="1A0E01AF" w14:textId="77777777" w:rsidR="00916CD7" w:rsidRDefault="00916CD7" w:rsidP="005F771F">
      <w:pPr>
        <w:pStyle w:val="SIText"/>
      </w:pPr>
    </w:p>
    <w:p w14:paraId="2CDEF018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403FBC48" w14:textId="77777777" w:rsidTr="00F33FF2">
        <w:tc>
          <w:tcPr>
            <w:tcW w:w="5000" w:type="pct"/>
            <w:gridSpan w:val="4"/>
          </w:tcPr>
          <w:p w14:paraId="7FAD8E79" w14:textId="412E43FA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3AF9D8E" w14:textId="77777777" w:rsidTr="00F33FF2">
        <w:tc>
          <w:tcPr>
            <w:tcW w:w="1028" w:type="pct"/>
          </w:tcPr>
          <w:p w14:paraId="6826E79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378FE9CB" w14:textId="77777777" w:rsidR="00F1480E" w:rsidRPr="000754EC" w:rsidRDefault="00F1480E" w:rsidP="000754EC">
            <w:pPr>
              <w:pStyle w:val="SIText-Bold"/>
            </w:pPr>
            <w:r w:rsidRPr="00923720">
              <w:t>Code and title previous version</w:t>
            </w:r>
          </w:p>
        </w:tc>
        <w:tc>
          <w:tcPr>
            <w:tcW w:w="1251" w:type="pct"/>
          </w:tcPr>
          <w:p w14:paraId="2708EB56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1C390CE0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032962" w14:paraId="0DAC76F2" w14:textId="77777777" w:rsidTr="00F33FF2">
        <w:tc>
          <w:tcPr>
            <w:tcW w:w="1028" w:type="pct"/>
          </w:tcPr>
          <w:p w14:paraId="133C2290" w14:textId="1ACB5C9A" w:rsidR="00032962" w:rsidRPr="00032962" w:rsidRDefault="00032962" w:rsidP="00032962">
            <w:pPr>
              <w:pStyle w:val="SIText"/>
            </w:pPr>
            <w:r w:rsidRPr="00032962">
              <w:t>FBPAUD4005 Audit bivalve mollusc growing and harvesting processes</w:t>
            </w:r>
          </w:p>
        </w:tc>
        <w:tc>
          <w:tcPr>
            <w:tcW w:w="1105" w:type="pct"/>
          </w:tcPr>
          <w:p w14:paraId="050696DA" w14:textId="53E20008" w:rsidR="00032962" w:rsidRPr="00032962" w:rsidRDefault="00032962" w:rsidP="00032962">
            <w:pPr>
              <w:pStyle w:val="SIText"/>
            </w:pPr>
            <w:r w:rsidRPr="00032962">
              <w:t>FDFAU4005A Audit bivalve mollusc growing and harvesting processes</w:t>
            </w:r>
          </w:p>
        </w:tc>
        <w:tc>
          <w:tcPr>
            <w:tcW w:w="1251" w:type="pct"/>
          </w:tcPr>
          <w:p w14:paraId="68D5E6EF" w14:textId="3E522C78" w:rsidR="00032962" w:rsidRPr="00032962" w:rsidRDefault="00032962" w:rsidP="00032962">
            <w:pPr>
              <w:pStyle w:val="SIText"/>
            </w:pPr>
            <w:r w:rsidRPr="00032962">
              <w:t>Updated to meet Standards for Training Packages</w:t>
            </w:r>
          </w:p>
        </w:tc>
        <w:tc>
          <w:tcPr>
            <w:tcW w:w="1616" w:type="pct"/>
          </w:tcPr>
          <w:p w14:paraId="71095270" w14:textId="7576A66D" w:rsidR="00032962" w:rsidRPr="00032962" w:rsidRDefault="00032962" w:rsidP="00032962">
            <w:pPr>
              <w:pStyle w:val="SIText"/>
            </w:pPr>
            <w:r w:rsidRPr="00032962">
              <w:t>Equivalent unit</w:t>
            </w:r>
          </w:p>
        </w:tc>
      </w:tr>
    </w:tbl>
    <w:p w14:paraId="2C5BD6E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20"/>
        <w:gridCol w:w="7608"/>
      </w:tblGrid>
      <w:tr w:rsidR="00F1480E" w:rsidRPr="00A55106" w14:paraId="4610CA9C" w14:textId="77777777" w:rsidTr="0035000E">
        <w:tc>
          <w:tcPr>
            <w:tcW w:w="1049" w:type="pct"/>
            <w:shd w:val="clear" w:color="auto" w:fill="auto"/>
          </w:tcPr>
          <w:p w14:paraId="5A4FAC6A" w14:textId="3889DC7D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951" w:type="pct"/>
            <w:shd w:val="clear" w:color="auto" w:fill="auto"/>
          </w:tcPr>
          <w:p w14:paraId="3D963234" w14:textId="1D280B2C" w:rsidR="00F1480E" w:rsidRPr="000754EC" w:rsidRDefault="0035000E" w:rsidP="00E40225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0D3994B9" w14:textId="77777777" w:rsidR="00F1480E" w:rsidRDefault="00F1480E" w:rsidP="005F771F">
      <w:pPr>
        <w:pStyle w:val="SIText"/>
      </w:pPr>
    </w:p>
    <w:p w14:paraId="750B2CB5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5A4BFACE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4783141E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0AA796AC" w14:textId="50944205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032962" w:rsidRPr="00032962">
              <w:rPr>
                <w:lang w:eastAsia="en-US"/>
              </w:rPr>
              <w:t xml:space="preserve">FBPAUD4005 </w:t>
            </w:r>
            <w:r w:rsidR="00032962" w:rsidRPr="00032962">
              <w:t>Audit bivalve mollusc growing and harvesting processes</w:t>
            </w:r>
          </w:p>
        </w:tc>
      </w:tr>
      <w:tr w:rsidR="00556C4C" w:rsidRPr="00A55106" w14:paraId="7E8892DD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2FE1A520" w14:textId="3F2B678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6E913637" w14:textId="77777777" w:rsidTr="00113678">
        <w:tc>
          <w:tcPr>
            <w:tcW w:w="5000" w:type="pct"/>
            <w:gridSpan w:val="2"/>
            <w:shd w:val="clear" w:color="auto" w:fill="auto"/>
          </w:tcPr>
          <w:p w14:paraId="00CB76F6" w14:textId="77777777" w:rsidR="0026394F" w:rsidRPr="000754EC" w:rsidRDefault="006E42FE" w:rsidP="000754EC">
            <w:pPr>
              <w:pStyle w:val="SIText"/>
            </w:pPr>
            <w:r w:rsidRPr="000754EC">
              <w:t>An individual demonstrating competency</w:t>
            </w:r>
            <w:r w:rsidR="00717385" w:rsidRPr="000754EC">
              <w:t xml:space="preserve"> must satisfy all of the elements and </w:t>
            </w:r>
            <w:r w:rsidRPr="000754EC">
              <w:t xml:space="preserve">performance criteria </w:t>
            </w:r>
            <w:r w:rsidR="00717385" w:rsidRPr="000754EC">
              <w:t>in</w:t>
            </w:r>
            <w:r w:rsidRPr="000754EC">
              <w:t xml:space="preserve"> this unit. </w:t>
            </w:r>
          </w:p>
          <w:p w14:paraId="5E22589C" w14:textId="7E08A867" w:rsidR="006812C0" w:rsidRDefault="00032962" w:rsidP="009E1477">
            <w:pPr>
              <w:pStyle w:val="SIText"/>
            </w:pPr>
            <w:r w:rsidRPr="00032962">
              <w:t>There must be evidence that</w:t>
            </w:r>
            <w:r w:rsidR="00920C77">
              <w:t xml:space="preserve"> </w:t>
            </w:r>
            <w:r w:rsidRPr="00032962">
              <w:t>the individual has</w:t>
            </w:r>
            <w:r w:rsidR="00920C77">
              <w:t xml:space="preserve"> </w:t>
            </w:r>
            <w:r w:rsidR="006812C0">
              <w:t xml:space="preserve">actively participated in a minimum of two </w:t>
            </w:r>
            <w:r w:rsidR="00BE114B">
              <w:t xml:space="preserve">critical control point </w:t>
            </w:r>
            <w:r w:rsidR="006812C0">
              <w:t>audits of food safety programs of</w:t>
            </w:r>
            <w:r w:rsidR="00920C77">
              <w:t xml:space="preserve"> </w:t>
            </w:r>
            <w:r w:rsidR="00EF23A1">
              <w:t xml:space="preserve">commercial </w:t>
            </w:r>
            <w:r w:rsidR="00920C77">
              <w:t xml:space="preserve">bivalve mollusc growing and harvesting </w:t>
            </w:r>
            <w:r w:rsidR="00096154">
              <w:t>process</w:t>
            </w:r>
            <w:r w:rsidR="006812C0">
              <w:t>es, and completed audit scenarios that include at least one audit involving relaying depuration and wet storage.</w:t>
            </w:r>
          </w:p>
          <w:p w14:paraId="1ECE61F8" w14:textId="17C14E9A" w:rsidR="00556C4C" w:rsidRPr="000754EC" w:rsidRDefault="00556C4C" w:rsidP="009E1477">
            <w:pPr>
              <w:pStyle w:val="SIText"/>
            </w:pPr>
          </w:p>
        </w:tc>
      </w:tr>
    </w:tbl>
    <w:p w14:paraId="708AB243" w14:textId="20039ED0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147DC9F5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58677845" w14:textId="63809BB5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101CB55D" w14:textId="77777777" w:rsidTr="00CA2922">
        <w:tc>
          <w:tcPr>
            <w:tcW w:w="5000" w:type="pct"/>
            <w:shd w:val="clear" w:color="auto" w:fill="auto"/>
          </w:tcPr>
          <w:p w14:paraId="44415D66" w14:textId="77777777" w:rsidR="006E42FE" w:rsidRPr="000754EC" w:rsidRDefault="006E42FE" w:rsidP="000754EC">
            <w:pPr>
              <w:pStyle w:val="SIText"/>
            </w:pPr>
            <w:r>
              <w:t xml:space="preserve">An individual must be able to demonstrate the knowledge required to perform the tasks outlined </w:t>
            </w:r>
            <w:r w:rsidRPr="000754EC">
              <w:t>in the elements and performance criteria of this unit. This includes knowledge of:</w:t>
            </w:r>
          </w:p>
          <w:p w14:paraId="1E11D87A" w14:textId="77777777" w:rsidR="00032962" w:rsidRPr="00032962" w:rsidRDefault="00032962" w:rsidP="00032962">
            <w:pPr>
              <w:pStyle w:val="SIBulletList1"/>
            </w:pPr>
            <w:r w:rsidRPr="00032962">
              <w:t>regulations, codes of practice, guidelines and Australian standards relating to production of bivalve molluscs and related role of government in overseeing implementation of shellfish quality programs</w:t>
            </w:r>
          </w:p>
          <w:p w14:paraId="2DAA8E52" w14:textId="77777777" w:rsidR="00032962" w:rsidRPr="00032962" w:rsidRDefault="00032962" w:rsidP="00032962">
            <w:pPr>
              <w:pStyle w:val="SIBulletList1"/>
            </w:pPr>
            <w:r w:rsidRPr="00032962">
              <w:t>basic biology and physiology of bivalve molluscs and related sources of food safety risk</w:t>
            </w:r>
          </w:p>
          <w:p w14:paraId="0322BD01" w14:textId="77777777" w:rsidR="00032962" w:rsidRPr="00032962" w:rsidRDefault="00032962" w:rsidP="00032962">
            <w:pPr>
              <w:pStyle w:val="SIBulletList1"/>
            </w:pPr>
            <w:r w:rsidRPr="00032962">
              <w:t>pathogens that can occur in bivalve molluscs and related survival and growth characteristics and control methods</w:t>
            </w:r>
          </w:p>
          <w:p w14:paraId="66B98157" w14:textId="77777777" w:rsidR="00032962" w:rsidRPr="00032962" w:rsidRDefault="00032962" w:rsidP="00032962">
            <w:pPr>
              <w:pStyle w:val="SIBulletList1"/>
            </w:pPr>
            <w:r w:rsidRPr="00032962">
              <w:t>chemicals that pose a food safety risk in bivalve molluscs</w:t>
            </w:r>
          </w:p>
          <w:p w14:paraId="75A3C65D" w14:textId="77777777" w:rsidR="00032962" w:rsidRPr="00032962" w:rsidRDefault="00032962" w:rsidP="00032962">
            <w:pPr>
              <w:pStyle w:val="SIBulletList1"/>
            </w:pPr>
            <w:r w:rsidRPr="00032962">
              <w:t>sources of environmental contamination that can present a food safety risk in the growing and harvesting of bivalve molluscs and related food safety controls, including risks associated with both on-shore and wild fisheries</w:t>
            </w:r>
          </w:p>
          <w:p w14:paraId="26FDD3E0" w14:textId="77777777" w:rsidR="00032962" w:rsidRPr="00032962" w:rsidRDefault="00032962" w:rsidP="00032962">
            <w:pPr>
              <w:pStyle w:val="SIBulletList1"/>
            </w:pPr>
            <w:r w:rsidRPr="00032962">
              <w:t>sources of information on acceptable and legal product quality requirements, including legal limits to ensure product safety</w:t>
            </w:r>
          </w:p>
          <w:p w14:paraId="72B5F60A" w14:textId="77777777" w:rsidR="00032962" w:rsidRPr="00032962" w:rsidRDefault="00032962" w:rsidP="00032962">
            <w:pPr>
              <w:pStyle w:val="SIBulletList1"/>
            </w:pPr>
            <w:r w:rsidRPr="00032962">
              <w:t>classifications applying to harvesting areas, system for monitoring and determining status, sources of advice on classification and methods of communicating classification information</w:t>
            </w:r>
          </w:p>
          <w:p w14:paraId="49ACCA47" w14:textId="77777777" w:rsidR="00032962" w:rsidRPr="00032962" w:rsidRDefault="00032962" w:rsidP="00032962">
            <w:pPr>
              <w:pStyle w:val="SIBulletList1"/>
            </w:pPr>
            <w:r w:rsidRPr="00032962">
              <w:t>sources of pre- and post-harvest contamination and related control requirements</w:t>
            </w:r>
          </w:p>
          <w:p w14:paraId="04D8EE52" w14:textId="77777777" w:rsidR="00032962" w:rsidRPr="00032962" w:rsidRDefault="00032962" w:rsidP="00032962">
            <w:pPr>
              <w:pStyle w:val="SIBulletList1"/>
            </w:pPr>
            <w:r w:rsidRPr="00032962">
              <w:t>risks and related control methods to prevent cross-contamination, including sorting and cleaning</w:t>
            </w:r>
          </w:p>
          <w:p w14:paraId="113B822E" w14:textId="77777777" w:rsidR="00032962" w:rsidRPr="00032962" w:rsidRDefault="00032962" w:rsidP="00032962">
            <w:pPr>
              <w:pStyle w:val="SIBulletList1"/>
            </w:pPr>
            <w:r w:rsidRPr="00032962">
              <w:t>prerequisite programs required to support bivalve mollusc growing and harvesting</w:t>
            </w:r>
          </w:p>
          <w:p w14:paraId="32FDCFA4" w14:textId="77777777" w:rsidR="00032962" w:rsidRPr="00032962" w:rsidRDefault="00032962" w:rsidP="00032962">
            <w:pPr>
              <w:pStyle w:val="SIBulletList1"/>
            </w:pPr>
            <w:r w:rsidRPr="00032962">
              <w:t>basic principles of water sampling and test methods</w:t>
            </w:r>
          </w:p>
          <w:p w14:paraId="4E139182" w14:textId="77777777" w:rsidR="00032962" w:rsidRPr="00032962" w:rsidRDefault="00032962" w:rsidP="00032962">
            <w:pPr>
              <w:pStyle w:val="SIBulletList1"/>
            </w:pPr>
            <w:r w:rsidRPr="00032962">
              <w:t>principles and associated control measures relating to effective purging of shellfish, including methods, including relaying and depuration, when practised according to state and territory legal and regulatory requirements</w:t>
            </w:r>
          </w:p>
          <w:p w14:paraId="5FC1F447" w14:textId="77777777" w:rsidR="00032962" w:rsidRPr="00032962" w:rsidRDefault="00032962" w:rsidP="00032962">
            <w:pPr>
              <w:pStyle w:val="SIBulletList1"/>
            </w:pPr>
            <w:r w:rsidRPr="00032962">
              <w:t>risks associated with depuration and wet storage methods, and related control methods and prerequisite programs that meet legal requirements</w:t>
            </w:r>
          </w:p>
          <w:p w14:paraId="2EC52FA5" w14:textId="77777777" w:rsidR="00032962" w:rsidRPr="00032962" w:rsidRDefault="00032962" w:rsidP="00032962">
            <w:pPr>
              <w:pStyle w:val="SIBulletList1"/>
            </w:pPr>
            <w:r w:rsidRPr="00032962">
              <w:t>sources of pre- and post-harvest contamination, including sewage, algal bio-toxins and vibrio organisms and related control requirements</w:t>
            </w:r>
          </w:p>
          <w:p w14:paraId="5DC19D57" w14:textId="77777777" w:rsidR="00032962" w:rsidRPr="00032962" w:rsidRDefault="00032962" w:rsidP="00032962">
            <w:pPr>
              <w:pStyle w:val="SIBulletList1"/>
            </w:pPr>
            <w:r w:rsidRPr="00032962">
              <w:t>stock handling and storage risks and control methods</w:t>
            </w:r>
          </w:p>
          <w:p w14:paraId="5B02A910" w14:textId="67BDE89F" w:rsidR="00F1480E" w:rsidRPr="000754EC" w:rsidRDefault="00032962" w:rsidP="00032962">
            <w:pPr>
              <w:pStyle w:val="SIBulletList1"/>
            </w:pPr>
            <w:proofErr w:type="gramStart"/>
            <w:r w:rsidRPr="00032962">
              <w:t>facilities</w:t>
            </w:r>
            <w:proofErr w:type="gramEnd"/>
            <w:r w:rsidRPr="00032962">
              <w:t xml:space="preserve"> and equipment used in the growing and harvesting of bivalve molluscs, including features required to meet regulatory requirements.</w:t>
            </w:r>
          </w:p>
        </w:tc>
      </w:tr>
    </w:tbl>
    <w:p w14:paraId="38666F80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707DC813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4CD05C9D" w14:textId="25C56FB0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51CEDF81" w14:textId="77777777" w:rsidTr="00CA2922">
        <w:tc>
          <w:tcPr>
            <w:tcW w:w="5000" w:type="pct"/>
            <w:shd w:val="clear" w:color="auto" w:fill="auto"/>
          </w:tcPr>
          <w:p w14:paraId="796492B2" w14:textId="7B032764" w:rsidR="004A7706" w:rsidRPr="000754EC" w:rsidRDefault="004A7706" w:rsidP="000754EC">
            <w:pPr>
              <w:pStyle w:val="SIText"/>
            </w:pPr>
            <w:r>
              <w:t xml:space="preserve">Assessment of </w:t>
            </w:r>
            <w:r w:rsidR="000C149A" w:rsidRPr="000754EC">
              <w:t xml:space="preserve">skills </w:t>
            </w:r>
            <w:r w:rsidRPr="000754EC">
              <w:t xml:space="preserve">must take place under the following conditions: </w:t>
            </w:r>
          </w:p>
          <w:p w14:paraId="5FF60577" w14:textId="363CB578" w:rsidR="004E6741" w:rsidRPr="000754EC" w:rsidRDefault="001D7F5B" w:rsidP="000754EC">
            <w:pPr>
              <w:pStyle w:val="SIBulletList1"/>
            </w:pPr>
            <w:r w:rsidRPr="000754EC">
              <w:t>p</w:t>
            </w:r>
            <w:r w:rsidR="004E6741" w:rsidRPr="000754EC">
              <w:t>hysical conditions</w:t>
            </w:r>
            <w:r w:rsidRPr="000754EC">
              <w:t>:</w:t>
            </w:r>
          </w:p>
          <w:p w14:paraId="324715E6" w14:textId="1EFFF11D" w:rsidR="002C3682" w:rsidRPr="002C3682" w:rsidRDefault="0021210E" w:rsidP="002C3682">
            <w:pPr>
              <w:pStyle w:val="SIBulletList2"/>
            </w:pPr>
            <w:r w:rsidRPr="000754EC">
              <w:t xml:space="preserve">skills must be demonstrated </w:t>
            </w:r>
            <w:r w:rsidR="002C3682" w:rsidRPr="002C3682">
              <w:t xml:space="preserve">in a workplace setting or an environment that accurately represents a real workplace </w:t>
            </w:r>
          </w:p>
          <w:p w14:paraId="28CDC0AB" w14:textId="77777777" w:rsidR="00DA54DE" w:rsidRPr="00DA54DE" w:rsidRDefault="00DA54DE" w:rsidP="00DA54DE">
            <w:pPr>
              <w:pStyle w:val="SIBulletList1"/>
            </w:pPr>
            <w:r w:rsidRPr="00DA54DE">
              <w:t>resources, equipment and materials:</w:t>
            </w:r>
          </w:p>
          <w:p w14:paraId="78652906" w14:textId="77777777" w:rsidR="00DA54DE" w:rsidRPr="00DA54DE" w:rsidRDefault="00DA54DE" w:rsidP="00DA54DE">
            <w:pPr>
              <w:pStyle w:val="SIBulletList2"/>
              <w:rPr>
                <w:rFonts w:eastAsia="Calibri"/>
              </w:rPr>
            </w:pPr>
            <w:r w:rsidRPr="00DA54DE">
              <w:t>food safety programs covering bivalve mollusc growing and harvesting processes</w:t>
            </w:r>
          </w:p>
          <w:p w14:paraId="5BE3C144" w14:textId="0F80B4A5" w:rsidR="00DA54DE" w:rsidRPr="009E1477" w:rsidRDefault="00DA54DE" w:rsidP="00DA54DE">
            <w:pPr>
              <w:pStyle w:val="SIBulletList2"/>
              <w:rPr>
                <w:rFonts w:eastAsia="Calibri"/>
              </w:rPr>
            </w:pPr>
            <w:r w:rsidRPr="00DA54DE">
              <w:t>plant and equipment that would typically be used in a commercial bivalve mollusc growing and harvesting business</w:t>
            </w:r>
          </w:p>
          <w:p w14:paraId="579ECC66" w14:textId="69F5404D" w:rsidR="006812C0" w:rsidRPr="00DA54DE" w:rsidRDefault="006812C0" w:rsidP="00DA54DE">
            <w:pPr>
              <w:pStyle w:val="SIBulletList2"/>
              <w:rPr>
                <w:rFonts w:eastAsia="Calibri"/>
              </w:rPr>
            </w:pPr>
            <w:r>
              <w:t xml:space="preserve">case studies of audit processes, including one that involves </w:t>
            </w:r>
            <w:r w:rsidRPr="006812C0">
              <w:t>relaying, depuration or wet storage</w:t>
            </w:r>
          </w:p>
          <w:p w14:paraId="4B7A31BB" w14:textId="77777777" w:rsidR="00DA54DE" w:rsidRPr="00DA54DE" w:rsidRDefault="00DA54DE" w:rsidP="00DA54DE">
            <w:pPr>
              <w:pStyle w:val="SIBulletList1"/>
            </w:pPr>
            <w:r w:rsidRPr="00DA54DE">
              <w:t>specifications:</w:t>
            </w:r>
          </w:p>
          <w:p w14:paraId="29D2BF95" w14:textId="77777777" w:rsidR="00DA54DE" w:rsidRPr="00DA54DE" w:rsidRDefault="00DA54DE" w:rsidP="00DA54DE">
            <w:pPr>
              <w:pStyle w:val="SIBulletList2"/>
              <w:rPr>
                <w:rFonts w:eastAsia="Calibri"/>
              </w:rPr>
            </w:pPr>
            <w:r w:rsidRPr="00DA54DE">
              <w:t>standard and authorised work practices, safety requirements and environmental constraints</w:t>
            </w:r>
          </w:p>
          <w:p w14:paraId="150C7925" w14:textId="77777777" w:rsidR="00DA54DE" w:rsidRPr="00DA54DE" w:rsidRDefault="00DA54DE" w:rsidP="00DA54DE">
            <w:pPr>
              <w:pStyle w:val="SIBulletList2"/>
              <w:rPr>
                <w:rFonts w:eastAsia="Calibri"/>
              </w:rPr>
            </w:pPr>
            <w:proofErr w:type="gramStart"/>
            <w:r w:rsidRPr="00DA54DE">
              <w:t>food</w:t>
            </w:r>
            <w:proofErr w:type="gramEnd"/>
            <w:r w:rsidRPr="00DA54DE">
              <w:t xml:space="preserve"> safety related documentation typical of commercial growing and harvesting businesses and used for the purpose of verification.</w:t>
            </w:r>
          </w:p>
          <w:p w14:paraId="072F3319" w14:textId="77777777" w:rsidR="0021210E" w:rsidRDefault="0021210E" w:rsidP="000754EC">
            <w:pPr>
              <w:pStyle w:val="SIText"/>
            </w:pPr>
          </w:p>
          <w:p w14:paraId="67026675" w14:textId="77777777" w:rsidR="007134FE" w:rsidRPr="000754EC" w:rsidRDefault="007134FE" w:rsidP="000754EC">
            <w:pPr>
              <w:pStyle w:val="SIText"/>
            </w:pPr>
            <w:r w:rsidRPr="006452B8">
              <w:lastRenderedPageBreak/>
              <w:t xml:space="preserve">Assessors of this unit </w:t>
            </w:r>
            <w:r w:rsidRPr="000754EC">
              <w:t>must satisfy the requirements for assessors in applicable vocational education and training legislation, frameworks and/or standards.</w:t>
            </w:r>
          </w:p>
          <w:p w14:paraId="05C42BBF" w14:textId="594B55E3" w:rsidR="00F1480E" w:rsidRPr="000754EC" w:rsidRDefault="00F1480E" w:rsidP="0035000E">
            <w:pPr>
              <w:pStyle w:val="SIBulletList2"/>
              <w:numPr>
                <w:ilvl w:val="0"/>
                <w:numId w:val="0"/>
              </w:numPr>
              <w:rPr>
                <w:rFonts w:eastAsia="Calibri"/>
              </w:rPr>
            </w:pPr>
          </w:p>
        </w:tc>
      </w:tr>
    </w:tbl>
    <w:p w14:paraId="08613CA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37C991B8" w14:textId="77777777" w:rsidTr="004679E3">
        <w:tc>
          <w:tcPr>
            <w:tcW w:w="990" w:type="pct"/>
            <w:shd w:val="clear" w:color="auto" w:fill="auto"/>
          </w:tcPr>
          <w:p w14:paraId="1560452F" w14:textId="75698D6C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294ADB3E" w14:textId="54DFB0FE" w:rsidR="00F1480E" w:rsidRPr="000754EC" w:rsidRDefault="0035000E" w:rsidP="000754EC">
            <w:pPr>
              <w:pStyle w:val="SIText"/>
            </w:pPr>
            <w:r w:rsidRPr="0035000E">
              <w:t xml:space="preserve">Companion Volumes, including Implementation Guides, are available at </w:t>
            </w:r>
            <w:proofErr w:type="spellStart"/>
            <w:r w:rsidRPr="0035000E">
              <w:t>VETNet</w:t>
            </w:r>
            <w:proofErr w:type="spellEnd"/>
            <w:r w:rsidRPr="0035000E">
              <w:t>: https://vetnet.education.gov.au/Pages/TrainingDocs.aspx?q=78b15323-cd38-483e-aad7-1159b570a5c4</w:t>
            </w:r>
          </w:p>
        </w:tc>
      </w:tr>
    </w:tbl>
    <w:p w14:paraId="28F642D4" w14:textId="468150FC" w:rsidR="00F1480E" w:rsidRDefault="00F1480E" w:rsidP="005F771F">
      <w:pPr>
        <w:pStyle w:val="SIText"/>
      </w:pPr>
    </w:p>
    <w:sectPr w:rsidR="00F1480E" w:rsidSect="00AE32CB">
      <w:headerReference w:type="default" r:id="rId13"/>
      <w:footerReference w:type="default" r:id="rId14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Jenni Oldfield" w:date="2017-10-25T14:16:00Z" w:initials="JO">
    <w:p w14:paraId="6DA720FA" w14:textId="77777777" w:rsidR="00190936" w:rsidRDefault="00190936">
      <w:bookmarkStart w:id="1" w:name="_GoBack"/>
      <w:bookmarkEnd w:id="1"/>
      <w:r>
        <w:annotationRef/>
      </w:r>
      <w:r w:rsidR="00C04568" w:rsidRPr="00053C7D">
        <w:t>The National regulatory food safety auditor guideline and policy</w:t>
      </w:r>
      <w:r w:rsidR="00C04568" w:rsidRPr="00053C7D">
        <w:annotationRef/>
      </w:r>
      <w:r w:rsidR="00C04568" w:rsidRPr="00053C7D">
        <w:t xml:space="preserve"> references units of competency, but they are not necessarily prerequisites in the training sense. They could be pre-delivered or co-delivered and assessed (whereas a prerequisite must be delivered and assessed beforehand), in which case, these </w:t>
      </w:r>
      <w:r w:rsidR="00C04568">
        <w:t>c</w:t>
      </w:r>
      <w:r w:rsidR="00C04568" w:rsidRPr="00053C7D">
        <w:t>ould be removed.</w:t>
      </w:r>
    </w:p>
    <w:p w14:paraId="7E54E59C" w14:textId="77777777" w:rsidR="001A02A5" w:rsidRDefault="001A02A5"/>
    <w:p w14:paraId="0D478200" w14:textId="77777777" w:rsidR="001A02A5" w:rsidRDefault="001A02A5" w:rsidP="001A02A5">
      <w:bookmarkStart w:id="2" w:name="_Hlk497044606"/>
      <w:r>
        <w:t>Q. Do these prerequisite unit/s need to be completed prior to undertaking this unit of competency?</w:t>
      </w:r>
    </w:p>
    <w:bookmarkEnd w:id="2"/>
    <w:p w14:paraId="403EF0D6" w14:textId="724FE6C4" w:rsidR="001A02A5" w:rsidRDefault="001A02A5"/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403EF0D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03EF0D6" w16cid:durableId="1D9B1B3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700FAE" w14:textId="77777777" w:rsidR="00BA0C49" w:rsidRDefault="00BA0C49" w:rsidP="00BF3F0A">
      <w:r>
        <w:separator/>
      </w:r>
    </w:p>
    <w:p w14:paraId="0A167BDA" w14:textId="77777777" w:rsidR="00BA0C49" w:rsidRDefault="00BA0C49"/>
  </w:endnote>
  <w:endnote w:type="continuationSeparator" w:id="0">
    <w:p w14:paraId="0113C543" w14:textId="77777777" w:rsidR="00BA0C49" w:rsidRDefault="00BA0C49" w:rsidP="00BF3F0A">
      <w:r>
        <w:continuationSeparator/>
      </w:r>
    </w:p>
    <w:p w14:paraId="6E8352DC" w14:textId="77777777" w:rsidR="00BA0C49" w:rsidRDefault="00BA0C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1379AF24" w14:textId="52F0C995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83215D">
          <w:rPr>
            <w:noProof/>
          </w:rPr>
          <w:t>4</w:t>
        </w:r>
        <w:r w:rsidRPr="000754EC">
          <w:fldChar w:fldCharType="end"/>
        </w:r>
      </w:p>
      <w:p w14:paraId="19EF64C9" w14:textId="45193B7C" w:rsidR="00D810DE" w:rsidRDefault="000E25E6" w:rsidP="005F771F">
        <w:pPr>
          <w:pStyle w:val="SIText"/>
        </w:pPr>
        <w:r w:rsidRPr="000754EC">
          <w:t xml:space="preserve">Template modified on </w:t>
        </w:r>
        <w:r w:rsidR="00DD0726">
          <w:t>31 August</w:t>
        </w:r>
        <w:r w:rsidR="00752C75" w:rsidRPr="000754EC">
          <w:t xml:space="preserve"> 2017</w:t>
        </w:r>
      </w:p>
    </w:sdtContent>
  </w:sdt>
  <w:p w14:paraId="75C36973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6CB1C7" w14:textId="77777777" w:rsidR="00BA0C49" w:rsidRDefault="00BA0C49" w:rsidP="00BF3F0A">
      <w:r>
        <w:separator/>
      </w:r>
    </w:p>
    <w:p w14:paraId="11ECD9BD" w14:textId="77777777" w:rsidR="00BA0C49" w:rsidRDefault="00BA0C49"/>
  </w:footnote>
  <w:footnote w:type="continuationSeparator" w:id="0">
    <w:p w14:paraId="69F0F261" w14:textId="77777777" w:rsidR="00BA0C49" w:rsidRDefault="00BA0C49" w:rsidP="00BF3F0A">
      <w:r>
        <w:continuationSeparator/>
      </w:r>
    </w:p>
    <w:p w14:paraId="5B8F644E" w14:textId="77777777" w:rsidR="00BA0C49" w:rsidRDefault="00BA0C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4F31AF" w14:textId="5BA68581" w:rsidR="009C2650" w:rsidRPr="00032962" w:rsidRDefault="00032962" w:rsidP="00032962">
    <w:r w:rsidRPr="00032962">
      <w:rPr>
        <w:lang w:eastAsia="en-US"/>
      </w:rPr>
      <w:t>FBPAUD4005 Audit bivalve mollusc growing and harvesting processes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1" w15:restartNumberingAfterBreak="0">
    <w:nsid w:val="528759F1"/>
    <w:multiLevelType w:val="hybridMultilevel"/>
    <w:tmpl w:val="876C99AA"/>
    <w:lvl w:ilvl="0" w:tplc="6CC65F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097C86"/>
    <w:multiLevelType w:val="hybridMultilevel"/>
    <w:tmpl w:val="CF28D0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3"/>
  </w:num>
  <w:num w:numId="4">
    <w:abstractNumId w:val="1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13"/>
  </w:num>
  <w:num w:numId="10">
    <w:abstractNumId w:val="9"/>
  </w:num>
  <w:num w:numId="11">
    <w:abstractNumId w:val="12"/>
  </w:num>
  <w:num w:numId="12">
    <w:abstractNumId w:val="10"/>
  </w:num>
  <w:num w:numId="13">
    <w:abstractNumId w:val="15"/>
  </w:num>
  <w:num w:numId="14">
    <w:abstractNumId w:val="4"/>
  </w:num>
  <w:num w:numId="15">
    <w:abstractNumId w:val="5"/>
  </w:num>
  <w:num w:numId="16">
    <w:abstractNumId w:val="16"/>
  </w:num>
  <w:num w:numId="17">
    <w:abstractNumId w:val="10"/>
  </w:num>
  <w:num w:numId="18">
    <w:abstractNumId w:val="17"/>
  </w:num>
  <w:num w:numId="19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enni Oldfield">
    <w15:presenceInfo w15:providerId="AD" w15:userId="S-1-5-21-1873004940-3600075844-1392555581-10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GGyJCQ7hEHA4RZP4iChHQp0u2qHuWUGvvGqvH404C5Uc1oafX1eOqBQMXh8RnfLnCm2KHsHk3STmZ62M7ePiWQ==" w:salt="1ZDnK2aFvcTRlj9dcZdcbw=="/>
  <w:styleLockThem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3EE"/>
    <w:rsid w:val="000014B9"/>
    <w:rsid w:val="00005A15"/>
    <w:rsid w:val="0001108F"/>
    <w:rsid w:val="000115E2"/>
    <w:rsid w:val="000126D0"/>
    <w:rsid w:val="0001296A"/>
    <w:rsid w:val="00016803"/>
    <w:rsid w:val="00023992"/>
    <w:rsid w:val="000275AE"/>
    <w:rsid w:val="00032962"/>
    <w:rsid w:val="00041E59"/>
    <w:rsid w:val="00046DB6"/>
    <w:rsid w:val="00064BFE"/>
    <w:rsid w:val="00070B3E"/>
    <w:rsid w:val="00071F95"/>
    <w:rsid w:val="000737BB"/>
    <w:rsid w:val="00074E47"/>
    <w:rsid w:val="00075331"/>
    <w:rsid w:val="000754EC"/>
    <w:rsid w:val="0009093B"/>
    <w:rsid w:val="00096154"/>
    <w:rsid w:val="000A5441"/>
    <w:rsid w:val="000C149A"/>
    <w:rsid w:val="000C224E"/>
    <w:rsid w:val="000C2E48"/>
    <w:rsid w:val="000E25E6"/>
    <w:rsid w:val="000E2C86"/>
    <w:rsid w:val="000F29F2"/>
    <w:rsid w:val="00101659"/>
    <w:rsid w:val="001078BF"/>
    <w:rsid w:val="00133957"/>
    <w:rsid w:val="001372F6"/>
    <w:rsid w:val="00144385"/>
    <w:rsid w:val="00146EEC"/>
    <w:rsid w:val="00151D55"/>
    <w:rsid w:val="00151D93"/>
    <w:rsid w:val="00156EF3"/>
    <w:rsid w:val="00176E4F"/>
    <w:rsid w:val="0018546B"/>
    <w:rsid w:val="0018633D"/>
    <w:rsid w:val="00190936"/>
    <w:rsid w:val="001A02A5"/>
    <w:rsid w:val="001A6A3E"/>
    <w:rsid w:val="001A7B6D"/>
    <w:rsid w:val="001B34D5"/>
    <w:rsid w:val="001B513A"/>
    <w:rsid w:val="001C0A75"/>
    <w:rsid w:val="001C1306"/>
    <w:rsid w:val="001D5C1B"/>
    <w:rsid w:val="001D7F5B"/>
    <w:rsid w:val="001E16BC"/>
    <w:rsid w:val="001E16DF"/>
    <w:rsid w:val="001F2BA5"/>
    <w:rsid w:val="001F308D"/>
    <w:rsid w:val="00201A7C"/>
    <w:rsid w:val="0021210E"/>
    <w:rsid w:val="0021414D"/>
    <w:rsid w:val="00223124"/>
    <w:rsid w:val="00233143"/>
    <w:rsid w:val="00234444"/>
    <w:rsid w:val="00242293"/>
    <w:rsid w:val="00244EA7"/>
    <w:rsid w:val="00262FC3"/>
    <w:rsid w:val="0026394F"/>
    <w:rsid w:val="00276DB8"/>
    <w:rsid w:val="00282664"/>
    <w:rsid w:val="00285FB8"/>
    <w:rsid w:val="002970C3"/>
    <w:rsid w:val="002A4CD3"/>
    <w:rsid w:val="002A6CC4"/>
    <w:rsid w:val="002C3682"/>
    <w:rsid w:val="002C55E9"/>
    <w:rsid w:val="002D0C8B"/>
    <w:rsid w:val="002D330A"/>
    <w:rsid w:val="002E193E"/>
    <w:rsid w:val="00310A6A"/>
    <w:rsid w:val="003144E6"/>
    <w:rsid w:val="00337E82"/>
    <w:rsid w:val="00346FDC"/>
    <w:rsid w:val="00347630"/>
    <w:rsid w:val="0035000E"/>
    <w:rsid w:val="00350BB1"/>
    <w:rsid w:val="00352C83"/>
    <w:rsid w:val="00362CA0"/>
    <w:rsid w:val="00366805"/>
    <w:rsid w:val="0037067D"/>
    <w:rsid w:val="0038735B"/>
    <w:rsid w:val="003916D1"/>
    <w:rsid w:val="003A21F0"/>
    <w:rsid w:val="003A277F"/>
    <w:rsid w:val="003A58BA"/>
    <w:rsid w:val="003A5AE7"/>
    <w:rsid w:val="003A7221"/>
    <w:rsid w:val="003B3493"/>
    <w:rsid w:val="003C13AE"/>
    <w:rsid w:val="003D2E73"/>
    <w:rsid w:val="003E72B6"/>
    <w:rsid w:val="003E7BBE"/>
    <w:rsid w:val="004127E3"/>
    <w:rsid w:val="0043212E"/>
    <w:rsid w:val="00434366"/>
    <w:rsid w:val="00434ECE"/>
    <w:rsid w:val="00444423"/>
    <w:rsid w:val="00452F3E"/>
    <w:rsid w:val="004640AE"/>
    <w:rsid w:val="004679E3"/>
    <w:rsid w:val="00475172"/>
    <w:rsid w:val="004758B0"/>
    <w:rsid w:val="004832D2"/>
    <w:rsid w:val="00485559"/>
    <w:rsid w:val="00486F58"/>
    <w:rsid w:val="004A142B"/>
    <w:rsid w:val="004A3860"/>
    <w:rsid w:val="004A44E8"/>
    <w:rsid w:val="004A7706"/>
    <w:rsid w:val="004B29B7"/>
    <w:rsid w:val="004B7A28"/>
    <w:rsid w:val="004C2244"/>
    <w:rsid w:val="004C491F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5DC7"/>
    <w:rsid w:val="004F78DA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5146"/>
    <w:rsid w:val="005D1AFD"/>
    <w:rsid w:val="005E51E6"/>
    <w:rsid w:val="005F027A"/>
    <w:rsid w:val="005F33CC"/>
    <w:rsid w:val="005F771F"/>
    <w:rsid w:val="006121D4"/>
    <w:rsid w:val="00613B49"/>
    <w:rsid w:val="00616845"/>
    <w:rsid w:val="00620E8E"/>
    <w:rsid w:val="00633CFE"/>
    <w:rsid w:val="00634FCA"/>
    <w:rsid w:val="00643D1B"/>
    <w:rsid w:val="006452B8"/>
    <w:rsid w:val="00652E62"/>
    <w:rsid w:val="006812C0"/>
    <w:rsid w:val="00686A49"/>
    <w:rsid w:val="00687B62"/>
    <w:rsid w:val="00690C44"/>
    <w:rsid w:val="006969D9"/>
    <w:rsid w:val="006A1C9B"/>
    <w:rsid w:val="006A2B68"/>
    <w:rsid w:val="006C2F32"/>
    <w:rsid w:val="006D38C3"/>
    <w:rsid w:val="006D4448"/>
    <w:rsid w:val="006D6DFD"/>
    <w:rsid w:val="006E2C4D"/>
    <w:rsid w:val="006E42FE"/>
    <w:rsid w:val="006E791A"/>
    <w:rsid w:val="006F0D02"/>
    <w:rsid w:val="006F10FE"/>
    <w:rsid w:val="006F3622"/>
    <w:rsid w:val="006F68AF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71B60"/>
    <w:rsid w:val="00781D77"/>
    <w:rsid w:val="00783549"/>
    <w:rsid w:val="007860B7"/>
    <w:rsid w:val="00786DC8"/>
    <w:rsid w:val="007A300D"/>
    <w:rsid w:val="007D5A78"/>
    <w:rsid w:val="007E3BD1"/>
    <w:rsid w:val="007F1563"/>
    <w:rsid w:val="007F1EB2"/>
    <w:rsid w:val="007F44DB"/>
    <w:rsid w:val="007F5A8B"/>
    <w:rsid w:val="008157D5"/>
    <w:rsid w:val="00817D51"/>
    <w:rsid w:val="00823530"/>
    <w:rsid w:val="00823FF4"/>
    <w:rsid w:val="00830267"/>
    <w:rsid w:val="008306E7"/>
    <w:rsid w:val="0083215D"/>
    <w:rsid w:val="00834BC8"/>
    <w:rsid w:val="00837FD6"/>
    <w:rsid w:val="00847B60"/>
    <w:rsid w:val="00850243"/>
    <w:rsid w:val="00851BE5"/>
    <w:rsid w:val="008545EB"/>
    <w:rsid w:val="00865011"/>
    <w:rsid w:val="00886790"/>
    <w:rsid w:val="008908DE"/>
    <w:rsid w:val="008A12ED"/>
    <w:rsid w:val="008A39D3"/>
    <w:rsid w:val="008B2C77"/>
    <w:rsid w:val="008B4AD2"/>
    <w:rsid w:val="008B7138"/>
    <w:rsid w:val="008E260C"/>
    <w:rsid w:val="008E39BE"/>
    <w:rsid w:val="008E62EC"/>
    <w:rsid w:val="008F114A"/>
    <w:rsid w:val="008F32F6"/>
    <w:rsid w:val="00916CD7"/>
    <w:rsid w:val="00920927"/>
    <w:rsid w:val="00920C77"/>
    <w:rsid w:val="00921B38"/>
    <w:rsid w:val="00923720"/>
    <w:rsid w:val="009278C9"/>
    <w:rsid w:val="00932CD7"/>
    <w:rsid w:val="00944C09"/>
    <w:rsid w:val="009527CB"/>
    <w:rsid w:val="00953835"/>
    <w:rsid w:val="00960F6C"/>
    <w:rsid w:val="00970747"/>
    <w:rsid w:val="009A5900"/>
    <w:rsid w:val="009A6E6C"/>
    <w:rsid w:val="009A6F3F"/>
    <w:rsid w:val="009B331A"/>
    <w:rsid w:val="009C2650"/>
    <w:rsid w:val="009D15E2"/>
    <w:rsid w:val="009D15FE"/>
    <w:rsid w:val="009D5D2C"/>
    <w:rsid w:val="009E1477"/>
    <w:rsid w:val="009F0DCC"/>
    <w:rsid w:val="009F11CA"/>
    <w:rsid w:val="00A0695B"/>
    <w:rsid w:val="00A13052"/>
    <w:rsid w:val="00A216A8"/>
    <w:rsid w:val="00A223A6"/>
    <w:rsid w:val="00A5092E"/>
    <w:rsid w:val="00A554D6"/>
    <w:rsid w:val="00A56E14"/>
    <w:rsid w:val="00A6476B"/>
    <w:rsid w:val="00A72712"/>
    <w:rsid w:val="00A76C6C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3D6E"/>
    <w:rsid w:val="00B746B9"/>
    <w:rsid w:val="00B848D4"/>
    <w:rsid w:val="00B865B7"/>
    <w:rsid w:val="00B920D7"/>
    <w:rsid w:val="00BA0C49"/>
    <w:rsid w:val="00BA1CB1"/>
    <w:rsid w:val="00BA4178"/>
    <w:rsid w:val="00BA482D"/>
    <w:rsid w:val="00BB23F4"/>
    <w:rsid w:val="00BB6427"/>
    <w:rsid w:val="00BC5075"/>
    <w:rsid w:val="00BC5419"/>
    <w:rsid w:val="00BD3B0F"/>
    <w:rsid w:val="00BE114B"/>
    <w:rsid w:val="00BF1D4C"/>
    <w:rsid w:val="00BF3F0A"/>
    <w:rsid w:val="00C04568"/>
    <w:rsid w:val="00C143C3"/>
    <w:rsid w:val="00C1739B"/>
    <w:rsid w:val="00C21ADE"/>
    <w:rsid w:val="00C26067"/>
    <w:rsid w:val="00C30A29"/>
    <w:rsid w:val="00C317DC"/>
    <w:rsid w:val="00C578E9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2124"/>
    <w:rsid w:val="00D54C76"/>
    <w:rsid w:val="00D71E43"/>
    <w:rsid w:val="00D727F3"/>
    <w:rsid w:val="00D73695"/>
    <w:rsid w:val="00D810DE"/>
    <w:rsid w:val="00D87D32"/>
    <w:rsid w:val="00D91188"/>
    <w:rsid w:val="00D92C83"/>
    <w:rsid w:val="00DA0A81"/>
    <w:rsid w:val="00DA3C10"/>
    <w:rsid w:val="00DA53B5"/>
    <w:rsid w:val="00DA54DE"/>
    <w:rsid w:val="00DC1D69"/>
    <w:rsid w:val="00DC5A3A"/>
    <w:rsid w:val="00DD0726"/>
    <w:rsid w:val="00E238E6"/>
    <w:rsid w:val="00E35064"/>
    <w:rsid w:val="00E3681D"/>
    <w:rsid w:val="00E40225"/>
    <w:rsid w:val="00E501F0"/>
    <w:rsid w:val="00E6166D"/>
    <w:rsid w:val="00E91BFF"/>
    <w:rsid w:val="00E92933"/>
    <w:rsid w:val="00E94FAD"/>
    <w:rsid w:val="00EB0AA4"/>
    <w:rsid w:val="00EB5C88"/>
    <w:rsid w:val="00EC0469"/>
    <w:rsid w:val="00EE0D76"/>
    <w:rsid w:val="00EF01F8"/>
    <w:rsid w:val="00EF23A1"/>
    <w:rsid w:val="00EF40EF"/>
    <w:rsid w:val="00EF47FE"/>
    <w:rsid w:val="00F069BD"/>
    <w:rsid w:val="00F1480E"/>
    <w:rsid w:val="00F1497D"/>
    <w:rsid w:val="00F16AAC"/>
    <w:rsid w:val="00F33FF2"/>
    <w:rsid w:val="00F438FC"/>
    <w:rsid w:val="00F5616F"/>
    <w:rsid w:val="00F56451"/>
    <w:rsid w:val="00F56827"/>
    <w:rsid w:val="00F62866"/>
    <w:rsid w:val="00F65EF0"/>
    <w:rsid w:val="00F71651"/>
    <w:rsid w:val="00F76191"/>
    <w:rsid w:val="00F76CC6"/>
    <w:rsid w:val="00F83D7C"/>
    <w:rsid w:val="00FB232E"/>
    <w:rsid w:val="00FD557D"/>
    <w:rsid w:val="00FE0282"/>
    <w:rsid w:val="00FE124D"/>
    <w:rsid w:val="00FE792C"/>
    <w:rsid w:val="00FF58F8"/>
    <w:rsid w:val="00FF5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4AED1"/>
  <w15:docId w15:val="{DEAE0D0C-96BC-4CA3-8BDF-2D2D70A18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RangeEntry">
    <w:name w:val="SI Range Entry"/>
    <w:basedOn w:val="DefaultParagraphFont"/>
    <w:uiPriority w:val="1"/>
    <w:qFormat/>
    <w:rsid w:val="00DD0726"/>
    <w:rPr>
      <w:rFonts w:ascii="Arial" w:hAnsi="Arial"/>
      <w:b/>
      <w:i/>
      <w:sz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paragraph" w:styleId="NormalWeb">
    <w:name w:val="Normal (Web)"/>
    <w:basedOn w:val="Normal"/>
    <w:uiPriority w:val="99"/>
    <w:semiHidden/>
    <w:unhideWhenUsed/>
    <w:locked/>
    <w:rsid w:val="0035000E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55A87DFF65D24AAD44AC26620C6368" ma:contentTypeVersion="" ma:contentTypeDescription="Create a new document." ma:contentTypeScope="" ma:versionID="1e6da53a8929bc1eab5225f45b5c3065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FE99AC-137B-415D-A02E-38BA811331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2A484C-BEE2-4550-8B10-4DA750220B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1265</Words>
  <Characters>7216</Characters>
  <Application>Microsoft Office Word</Application>
  <DocSecurity>0</DocSecurity>
  <Lines>60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Helen Foote</dc:creator>
  <cp:lastModifiedBy>Danni McDonald</cp:lastModifiedBy>
  <cp:revision>18</cp:revision>
  <cp:lastPrinted>2016-05-27T05:21:00Z</cp:lastPrinted>
  <dcterms:created xsi:type="dcterms:W3CDTF">2017-09-07T01:51:00Z</dcterms:created>
  <dcterms:modified xsi:type="dcterms:W3CDTF">2017-10-31T01:23:00Z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0x0101004955A87DFF65D24AAD44AC26620C6368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