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BBE8" w14:textId="77777777" w:rsidR="00F1480E" w:rsidRPr="00981920" w:rsidRDefault="00F1480E" w:rsidP="00FD557D">
      <w:pPr>
        <w:pStyle w:val="SIHeading2"/>
        <w:rPr>
          <w:rFonts w:cs="Arial"/>
        </w:rPr>
      </w:pPr>
      <w:r w:rsidRPr="00981920">
        <w:rPr>
          <w:rFonts w:cs="Arial"/>
        </w:rP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:rsidRPr="00981920" w14:paraId="7B96CB49" w14:textId="77777777" w:rsidTr="00CA2922">
        <w:trPr>
          <w:tblHeader/>
        </w:trPr>
        <w:tc>
          <w:tcPr>
            <w:tcW w:w="2689" w:type="dxa"/>
          </w:tcPr>
          <w:p w14:paraId="601C6ACD" w14:textId="77777777" w:rsidR="00F1480E" w:rsidRPr="00981920" w:rsidRDefault="00830267" w:rsidP="00CA2922">
            <w:pPr>
              <w:pStyle w:val="SIText-Bold"/>
              <w:rPr>
                <w:rFonts w:cs="Arial"/>
              </w:rPr>
            </w:pPr>
            <w:r w:rsidRPr="00981920">
              <w:rPr>
                <w:rFonts w:cs="Arial"/>
              </w:rPr>
              <w:t>Release</w:t>
            </w:r>
          </w:p>
        </w:tc>
        <w:tc>
          <w:tcPr>
            <w:tcW w:w="6939" w:type="dxa"/>
          </w:tcPr>
          <w:p w14:paraId="3D3A2B2A" w14:textId="77777777" w:rsidR="00F1480E" w:rsidRPr="00981920" w:rsidRDefault="00830267" w:rsidP="00CA2922">
            <w:pPr>
              <w:pStyle w:val="SIText-Bold"/>
              <w:rPr>
                <w:rFonts w:cs="Arial"/>
              </w:rPr>
            </w:pPr>
            <w:r w:rsidRPr="00981920">
              <w:rPr>
                <w:rFonts w:cs="Arial"/>
              </w:rPr>
              <w:t>Comments</w:t>
            </w:r>
          </w:p>
        </w:tc>
      </w:tr>
      <w:tr w:rsidR="00F1480E" w:rsidRPr="00981920" w14:paraId="12916B4C" w14:textId="77777777" w:rsidTr="00CA2922">
        <w:tc>
          <w:tcPr>
            <w:tcW w:w="2689" w:type="dxa"/>
          </w:tcPr>
          <w:p w14:paraId="6301B856" w14:textId="77777777" w:rsidR="00F1480E" w:rsidRPr="00981920" w:rsidRDefault="00F1480E" w:rsidP="00CC451E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>Release</w:t>
            </w:r>
            <w:r w:rsidR="00D23313" w:rsidRPr="00981920">
              <w:rPr>
                <w:rFonts w:cs="Arial"/>
              </w:rPr>
              <w:t xml:space="preserve"> 1</w:t>
            </w:r>
          </w:p>
        </w:tc>
        <w:tc>
          <w:tcPr>
            <w:tcW w:w="6939" w:type="dxa"/>
          </w:tcPr>
          <w:p w14:paraId="5409AF28" w14:textId="77777777" w:rsidR="00F1480E" w:rsidRPr="00981920" w:rsidRDefault="00F1480E" w:rsidP="00CC451E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 xml:space="preserve">This version released with </w:t>
            </w:r>
            <w:r w:rsidR="00D23313" w:rsidRPr="00981920">
              <w:rPr>
                <w:rFonts w:cs="Arial"/>
              </w:rPr>
              <w:t>ACM Animal Care and Management</w:t>
            </w:r>
            <w:r w:rsidR="00981920">
              <w:rPr>
                <w:rFonts w:cs="Arial"/>
              </w:rPr>
              <w:t xml:space="preserve"> Training Package Version 1.0.</w:t>
            </w:r>
          </w:p>
        </w:tc>
      </w:tr>
    </w:tbl>
    <w:p w14:paraId="6FCE0D4F" w14:textId="77777777" w:rsidR="00F1480E" w:rsidRPr="00981920" w:rsidRDefault="00F1480E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1608B" w:rsidRPr="00981920" w14:paraId="47FF58E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E19393" w14:textId="77777777" w:rsidR="0061608B" w:rsidRPr="00981920" w:rsidRDefault="0061608B">
            <w:pPr>
              <w:pStyle w:val="AFSAUnitCode"/>
              <w:spacing w:line="276" w:lineRule="auto"/>
              <w:rPr>
                <w:rFonts w:ascii="Arial" w:hAnsi="Arial" w:cs="Arial"/>
                <w:lang w:eastAsia="en-US"/>
              </w:rPr>
            </w:pPr>
            <w:r w:rsidRPr="00981920">
              <w:rPr>
                <w:rFonts w:ascii="Arial" w:hAnsi="Arial" w:cs="Arial"/>
                <w:lang w:eastAsia="en-US"/>
              </w:rPr>
              <w:t>ACMSUS201</w:t>
            </w:r>
          </w:p>
        </w:tc>
        <w:tc>
          <w:tcPr>
            <w:tcW w:w="3604" w:type="pct"/>
            <w:shd w:val="clear" w:color="auto" w:fill="auto"/>
          </w:tcPr>
          <w:p w14:paraId="3EE73C41" w14:textId="77777777" w:rsidR="0061608B" w:rsidRPr="00981920" w:rsidRDefault="0061608B">
            <w:pPr>
              <w:pStyle w:val="AFSAUnitTitle"/>
              <w:spacing w:line="276" w:lineRule="auto"/>
              <w:rPr>
                <w:rFonts w:ascii="Arial" w:hAnsi="Arial" w:cs="Arial"/>
                <w:lang w:eastAsia="en-US"/>
              </w:rPr>
            </w:pPr>
            <w:r w:rsidRPr="00981920">
              <w:rPr>
                <w:rFonts w:ascii="Arial" w:hAnsi="Arial" w:cs="Arial"/>
                <w:lang w:eastAsia="en-US"/>
              </w:rPr>
              <w:t>Participate in environmentally sustainable work practices</w:t>
            </w:r>
          </w:p>
        </w:tc>
      </w:tr>
      <w:tr w:rsidR="00F1480E" w:rsidRPr="00981920" w14:paraId="69CB2548" w14:textId="77777777" w:rsidTr="00CA2922">
        <w:tc>
          <w:tcPr>
            <w:tcW w:w="1396" w:type="pct"/>
            <w:shd w:val="clear" w:color="auto" w:fill="auto"/>
          </w:tcPr>
          <w:p w14:paraId="2A01DD0D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Application</w:t>
            </w:r>
          </w:p>
          <w:p w14:paraId="2489F45F" w14:textId="77777777" w:rsidR="00FD557D" w:rsidRPr="00981920" w:rsidRDefault="00FD557D" w:rsidP="00FD557D">
            <w:pPr>
              <w:pStyle w:val="SIHeading2"/>
              <w:rPr>
                <w:rFonts w:cs="Arial"/>
              </w:rPr>
            </w:pPr>
          </w:p>
        </w:tc>
        <w:tc>
          <w:tcPr>
            <w:tcW w:w="3604" w:type="pct"/>
            <w:shd w:val="clear" w:color="auto" w:fill="auto"/>
          </w:tcPr>
          <w:p w14:paraId="5B70A046" w14:textId="77777777" w:rsidR="005D7ACA" w:rsidRPr="00981920" w:rsidRDefault="005D7ACA" w:rsidP="005D7ACA">
            <w:pPr>
              <w:pStyle w:val="AFSAText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1920">
              <w:rPr>
                <w:rFonts w:ascii="Arial" w:hAnsi="Arial" w:cs="Arial"/>
                <w:sz w:val="20"/>
                <w:szCs w:val="20"/>
              </w:rPr>
              <w:t>This unit of competency describes the skills and knowledge required to measure current resource use effectively</w:t>
            </w:r>
            <w:r w:rsidR="00981920">
              <w:rPr>
                <w:rFonts w:ascii="Arial" w:hAnsi="Arial" w:cs="Arial"/>
                <w:sz w:val="20"/>
                <w:szCs w:val="20"/>
              </w:rPr>
              <w:t>,</w:t>
            </w:r>
            <w:r w:rsidRPr="00981920">
              <w:rPr>
                <w:rFonts w:ascii="Arial" w:hAnsi="Arial" w:cs="Arial"/>
                <w:sz w:val="20"/>
                <w:szCs w:val="20"/>
              </w:rPr>
              <w:t xml:space="preserve"> and to carry out improvements, including those that will reduce the negative impacts of work practices</w:t>
            </w:r>
            <w:r w:rsidR="00981920">
              <w:rPr>
                <w:rFonts w:ascii="Arial" w:hAnsi="Arial" w:cs="Arial"/>
                <w:sz w:val="20"/>
                <w:szCs w:val="20"/>
              </w:rPr>
              <w:t xml:space="preserve"> on the environment</w:t>
            </w:r>
            <w:r w:rsidRPr="009819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C18D60" w14:textId="77777777" w:rsidR="004B269F" w:rsidRDefault="004B269F" w:rsidP="005D7ACA">
            <w:pPr>
              <w:pStyle w:val="AFSAText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E595D96" w14:textId="77777777" w:rsidR="005D7ACA" w:rsidRPr="00981920" w:rsidRDefault="005D7ACA" w:rsidP="005D7ACA">
            <w:pPr>
              <w:pStyle w:val="AFSAText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1920">
              <w:rPr>
                <w:rFonts w:ascii="Arial" w:hAnsi="Arial" w:cs="Arial"/>
                <w:sz w:val="20"/>
                <w:szCs w:val="20"/>
              </w:rPr>
              <w:t>This unit applies to individuals who work under general supervision and exercise limited autonomy with some accountability for their own work. They undertake defined activities and work in a structured context.</w:t>
            </w:r>
          </w:p>
          <w:p w14:paraId="056828CD" w14:textId="77777777" w:rsidR="005D7ACA" w:rsidRPr="00981920" w:rsidRDefault="005D7ACA" w:rsidP="005D7ACA">
            <w:pPr>
              <w:pStyle w:val="AFSAText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1920">
              <w:rPr>
                <w:rFonts w:ascii="Arial" w:hAnsi="Arial" w:cs="Arial"/>
                <w:sz w:val="20"/>
                <w:szCs w:val="20"/>
              </w:rPr>
              <w:t>Work routines meet organisational and compliance requirements for ethical handling and welfare of animals, environmental sustainability, work health and safety, and biosecurity appropriate to the work role.</w:t>
            </w:r>
          </w:p>
          <w:p w14:paraId="07F1E3C5" w14:textId="77777777" w:rsidR="004B269F" w:rsidRDefault="004B269F" w:rsidP="005D7ACA">
            <w:pPr>
              <w:pStyle w:val="SIText"/>
              <w:rPr>
                <w:rFonts w:cs="Arial"/>
                <w:szCs w:val="20"/>
              </w:rPr>
            </w:pPr>
          </w:p>
          <w:p w14:paraId="65BB9EE2" w14:textId="77777777" w:rsidR="00F1480E" w:rsidRPr="00981920" w:rsidRDefault="005D7ACA" w:rsidP="005D7ACA">
            <w:pPr>
              <w:pStyle w:val="SIText"/>
              <w:rPr>
                <w:rFonts w:cs="Arial"/>
                <w:color w:val="00B050"/>
                <w:szCs w:val="20"/>
              </w:rPr>
            </w:pPr>
            <w:r w:rsidRPr="00981920">
              <w:rPr>
                <w:rFonts w:cs="Arial"/>
                <w:szCs w:val="20"/>
              </w:rPr>
              <w:t>No occupational licensing, legislative or certification requirements are known to apply to this unit at the time of publication.</w:t>
            </w:r>
          </w:p>
        </w:tc>
      </w:tr>
      <w:tr w:rsidR="00F1480E" w:rsidRPr="00981920" w14:paraId="5362CD2D" w14:textId="77777777" w:rsidTr="00CA2922">
        <w:tc>
          <w:tcPr>
            <w:tcW w:w="1396" w:type="pct"/>
            <w:shd w:val="clear" w:color="auto" w:fill="auto"/>
          </w:tcPr>
          <w:p w14:paraId="31622B8D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2D8562" w14:textId="77777777" w:rsidR="00F1480E" w:rsidRPr="00981920" w:rsidRDefault="00F1480E" w:rsidP="008908DE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>Nil</w:t>
            </w:r>
          </w:p>
        </w:tc>
      </w:tr>
      <w:tr w:rsidR="00F1480E" w:rsidRPr="00981920" w14:paraId="412353EB" w14:textId="77777777" w:rsidTr="00CA2922">
        <w:tc>
          <w:tcPr>
            <w:tcW w:w="1396" w:type="pct"/>
            <w:shd w:val="clear" w:color="auto" w:fill="auto"/>
          </w:tcPr>
          <w:p w14:paraId="1066299E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A5745F3" w14:textId="23D739C1" w:rsidR="00F1480E" w:rsidRPr="00981920" w:rsidRDefault="00685120" w:rsidP="00E84DEE">
            <w:pPr>
              <w:pStyle w:val="SIText"/>
              <w:rPr>
                <w:rFonts w:cs="Arial"/>
              </w:rPr>
            </w:pPr>
            <w:r w:rsidRPr="00685120">
              <w:rPr>
                <w:rFonts w:cs="Arial"/>
                <w:szCs w:val="20"/>
              </w:rPr>
              <w:t>Environmental Sustainability (SUS)</w:t>
            </w:r>
            <w:bookmarkStart w:id="0" w:name="_GoBack"/>
            <w:bookmarkEnd w:id="0"/>
          </w:p>
        </w:tc>
      </w:tr>
    </w:tbl>
    <w:p w14:paraId="035733A5" w14:textId="77777777" w:rsidR="00F1480E" w:rsidRPr="00981920" w:rsidRDefault="00F1480E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81920" w14:paraId="1E1E68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64E92E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15251F2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Performance Criteria</w:t>
            </w:r>
          </w:p>
        </w:tc>
      </w:tr>
      <w:tr w:rsidR="00F1480E" w:rsidRPr="00981920" w14:paraId="451F9C1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939B47" w14:textId="77777777" w:rsidR="00F1480E" w:rsidRPr="00981920" w:rsidRDefault="00F1480E" w:rsidP="00CA2922">
            <w:pPr>
              <w:pStyle w:val="SIText"/>
              <w:rPr>
                <w:rStyle w:val="SIText-Italic"/>
                <w:rFonts w:cs="Arial"/>
              </w:rPr>
            </w:pPr>
            <w:r w:rsidRPr="00981920">
              <w:rPr>
                <w:rStyle w:val="SIText-Italic"/>
                <w:rFonts w:cs="Arial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B8B5B5" w14:textId="77777777" w:rsidR="00F1480E" w:rsidRPr="00981920" w:rsidRDefault="00F1480E" w:rsidP="00CA2922">
            <w:pPr>
              <w:pStyle w:val="SIText"/>
              <w:rPr>
                <w:rStyle w:val="SIText-Italic"/>
                <w:rFonts w:cs="Arial"/>
              </w:rPr>
            </w:pPr>
            <w:r w:rsidRPr="00981920">
              <w:rPr>
                <w:rStyle w:val="SIText-Italic"/>
                <w:rFonts w:cs="Arial"/>
              </w:rPr>
              <w:t>Performance criteria describe the performance needed to demonstrate achievement of the element.</w:t>
            </w:r>
          </w:p>
        </w:tc>
      </w:tr>
      <w:tr w:rsidR="008818AF" w:rsidRPr="00981920" w14:paraId="168242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B43F86" w14:textId="77777777" w:rsidR="008818AF" w:rsidRPr="00981920" w:rsidRDefault="00981920" w:rsidP="004C6C8B">
            <w:pPr>
              <w:pStyle w:val="AFSANumListLevel1"/>
              <w:tabs>
                <w:tab w:val="clear" w:pos="35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Identify current resource use</w:t>
            </w:r>
          </w:p>
        </w:tc>
        <w:tc>
          <w:tcPr>
            <w:tcW w:w="3604" w:type="pct"/>
            <w:shd w:val="clear" w:color="auto" w:fill="auto"/>
          </w:tcPr>
          <w:p w14:paraId="65F5ECB7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Identify workplace environmental and resource efficiency issues</w:t>
            </w:r>
          </w:p>
          <w:p w14:paraId="26871E0B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Identify resources used in own work role</w:t>
            </w:r>
          </w:p>
          <w:p w14:paraId="2898659D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Measure and document current usage of resources</w:t>
            </w:r>
          </w:p>
          <w:p w14:paraId="797EF4CC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Report workplace environmental hazards to appropriate personnel</w:t>
            </w:r>
          </w:p>
        </w:tc>
      </w:tr>
      <w:tr w:rsidR="008818AF" w:rsidRPr="00981920" w14:paraId="7AFB3A1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337853" w14:textId="77777777" w:rsidR="008818AF" w:rsidRPr="00981920" w:rsidRDefault="00981920" w:rsidP="004C6C8B">
            <w:pPr>
              <w:pStyle w:val="AFSANumListLevel1"/>
              <w:tabs>
                <w:tab w:val="clear" w:pos="35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Comply with environmental regulations</w:t>
            </w:r>
          </w:p>
        </w:tc>
        <w:tc>
          <w:tcPr>
            <w:tcW w:w="3604" w:type="pct"/>
            <w:shd w:val="clear" w:color="auto" w:fill="auto"/>
          </w:tcPr>
          <w:p w14:paraId="379BC60B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Follow procedures and processes to ensure compliance with relevant environmental regulations</w:t>
            </w:r>
          </w:p>
          <w:p w14:paraId="6E096F2E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Report breaches or potential breaches of relevant environmental regulations to appropriate personnel</w:t>
            </w:r>
          </w:p>
        </w:tc>
      </w:tr>
      <w:tr w:rsidR="008818AF" w:rsidRPr="00981920" w14:paraId="2BAAEA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F039EF" w14:textId="77777777" w:rsidR="008818AF" w:rsidRPr="00981920" w:rsidRDefault="00981920" w:rsidP="004C6C8B">
            <w:pPr>
              <w:pStyle w:val="AFSANumListLevel1"/>
              <w:tabs>
                <w:tab w:val="clear" w:pos="35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Seek opportunities to improve resource efficiency and reduce environmental hazards</w:t>
            </w:r>
          </w:p>
        </w:tc>
        <w:tc>
          <w:tcPr>
            <w:tcW w:w="3604" w:type="pct"/>
            <w:shd w:val="clear" w:color="auto" w:fill="auto"/>
          </w:tcPr>
          <w:p w14:paraId="24EB3482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Follow organisation plans to improve environmental practices and resource efficiency</w:t>
            </w:r>
          </w:p>
          <w:p w14:paraId="6E4A18EB" w14:textId="77777777" w:rsidR="008818AF" w:rsidRPr="00981920" w:rsidRDefault="00981920" w:rsidP="004C6C8B">
            <w:pPr>
              <w:pStyle w:val="AFSANumListLevel2"/>
              <w:tabs>
                <w:tab w:val="clear" w:pos="56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8818AF" w:rsidRPr="00981920">
              <w:rPr>
                <w:rFonts w:ascii="Arial" w:hAnsi="Arial" w:cs="Arial"/>
                <w:sz w:val="20"/>
                <w:szCs w:val="20"/>
              </w:rPr>
              <w:t>Make suggestions for improvements to workplace practices and resource efficiency</w:t>
            </w:r>
          </w:p>
        </w:tc>
      </w:tr>
    </w:tbl>
    <w:p w14:paraId="56EC7533" w14:textId="77777777" w:rsidR="00F1480E" w:rsidRPr="00981920" w:rsidRDefault="00F1480E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981920" w:rsidDel="00423CB2" w14:paraId="44777715" w14:textId="77777777" w:rsidTr="00CA2922">
        <w:trPr>
          <w:tblHeader/>
        </w:trPr>
        <w:tc>
          <w:tcPr>
            <w:tcW w:w="5000" w:type="pct"/>
            <w:gridSpan w:val="2"/>
          </w:tcPr>
          <w:p w14:paraId="485919D1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Foundation Skills</w:t>
            </w:r>
          </w:p>
          <w:p w14:paraId="1D403D2C" w14:textId="77777777" w:rsidR="00F1480E" w:rsidRPr="00981920" w:rsidRDefault="00F1480E" w:rsidP="00634FCA">
            <w:pPr>
              <w:rPr>
                <w:rStyle w:val="SIText-Italic"/>
                <w:rFonts w:eastAsiaTheme="majorEastAsia" w:cs="Arial"/>
              </w:rPr>
            </w:pPr>
            <w:r w:rsidRPr="00981920">
              <w:rPr>
                <w:rStyle w:val="SIText-Italic"/>
                <w:rFonts w:eastAsiaTheme="majorEastAsia" w:cs="Arial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981920" w:rsidDel="00423CB2" w14:paraId="782FA900" w14:textId="77777777" w:rsidTr="00CA2922">
        <w:trPr>
          <w:tblHeader/>
        </w:trPr>
        <w:tc>
          <w:tcPr>
            <w:tcW w:w="1396" w:type="pct"/>
          </w:tcPr>
          <w:p w14:paraId="36204003" w14:textId="77777777" w:rsidR="00F1480E" w:rsidRPr="00981920" w:rsidDel="00423CB2" w:rsidRDefault="00F1480E" w:rsidP="00FD557D">
            <w:pPr>
              <w:pStyle w:val="SIText-Bold"/>
              <w:rPr>
                <w:rFonts w:eastAsiaTheme="majorEastAsia" w:cs="Arial"/>
              </w:rPr>
            </w:pPr>
            <w:r w:rsidRPr="00981920">
              <w:rPr>
                <w:rFonts w:eastAsiaTheme="majorEastAsia" w:cs="Arial"/>
              </w:rPr>
              <w:t>Skill</w:t>
            </w:r>
          </w:p>
        </w:tc>
        <w:tc>
          <w:tcPr>
            <w:tcW w:w="3604" w:type="pct"/>
          </w:tcPr>
          <w:p w14:paraId="0E4495B3" w14:textId="77777777" w:rsidR="00F1480E" w:rsidRPr="00981920" w:rsidDel="00423CB2" w:rsidRDefault="00F1480E" w:rsidP="00FD557D">
            <w:pPr>
              <w:pStyle w:val="SIText-Bold"/>
              <w:rPr>
                <w:rFonts w:eastAsiaTheme="majorEastAsia" w:cs="Arial"/>
              </w:rPr>
            </w:pPr>
            <w:r w:rsidRPr="00981920">
              <w:rPr>
                <w:rFonts w:eastAsiaTheme="majorEastAsia" w:cs="Arial"/>
              </w:rPr>
              <w:t>Description</w:t>
            </w:r>
          </w:p>
        </w:tc>
      </w:tr>
      <w:tr w:rsidR="00F1480E" w:rsidRPr="00981920" w:rsidDel="00423CB2" w14:paraId="47474CEB" w14:textId="77777777" w:rsidTr="00CA2922">
        <w:tc>
          <w:tcPr>
            <w:tcW w:w="1396" w:type="pct"/>
          </w:tcPr>
          <w:p w14:paraId="57734EF3" w14:textId="77777777" w:rsidR="00F1480E" w:rsidRPr="00981920" w:rsidRDefault="00981920" w:rsidP="00923720">
            <w:pPr>
              <w:pStyle w:val="SIText"/>
              <w:rPr>
                <w:rFonts w:cs="Arial"/>
              </w:rPr>
            </w:pPr>
            <w:r>
              <w:rPr>
                <w:rFonts w:cs="Arial"/>
              </w:rPr>
              <w:t>Numeracy</w:t>
            </w:r>
          </w:p>
        </w:tc>
        <w:tc>
          <w:tcPr>
            <w:tcW w:w="3604" w:type="pct"/>
          </w:tcPr>
          <w:p w14:paraId="7DA8941E" w14:textId="77777777" w:rsidR="00F1480E" w:rsidRPr="00981920" w:rsidRDefault="00A25909" w:rsidP="009A6F3F">
            <w:pPr>
              <w:pStyle w:val="SIBulletList1"/>
              <w:rPr>
                <w:rFonts w:cs="Arial"/>
              </w:rPr>
            </w:pPr>
            <w:r>
              <w:rPr>
                <w:rFonts w:eastAsia="Calibri" w:cs="Arial"/>
              </w:rPr>
              <w:t>a</w:t>
            </w:r>
            <w:r w:rsidR="009E2531">
              <w:rPr>
                <w:rFonts w:eastAsia="Calibri" w:cs="Arial"/>
              </w:rPr>
              <w:t xml:space="preserve">ccurately calculate the volume or mass of </w:t>
            </w:r>
            <w:r w:rsidR="00981920">
              <w:rPr>
                <w:rFonts w:eastAsia="Calibri" w:cs="Arial"/>
              </w:rPr>
              <w:t>resource usage</w:t>
            </w:r>
            <w:r>
              <w:rPr>
                <w:rFonts w:eastAsia="Calibri" w:cs="Arial"/>
              </w:rPr>
              <w:t xml:space="preserve"> in the workplace over a period of time </w:t>
            </w:r>
          </w:p>
        </w:tc>
      </w:tr>
      <w:tr w:rsidR="00A25909" w:rsidRPr="00981920" w:rsidDel="00423CB2" w14:paraId="7A05B973" w14:textId="77777777" w:rsidTr="00CA2922">
        <w:tc>
          <w:tcPr>
            <w:tcW w:w="1396" w:type="pct"/>
          </w:tcPr>
          <w:p w14:paraId="155E9D54" w14:textId="77777777" w:rsidR="00A25909" w:rsidRDefault="00A25909" w:rsidP="00923720">
            <w:pPr>
              <w:pStyle w:val="SIText"/>
              <w:rPr>
                <w:rFonts w:cs="Arial"/>
              </w:rPr>
            </w:pPr>
            <w:r>
              <w:rPr>
                <w:rFonts w:cs="Arial"/>
              </w:rPr>
              <w:t xml:space="preserve">Oral communication </w:t>
            </w:r>
          </w:p>
        </w:tc>
        <w:tc>
          <w:tcPr>
            <w:tcW w:w="3604" w:type="pct"/>
          </w:tcPr>
          <w:p w14:paraId="69C65DB4" w14:textId="77777777" w:rsidR="00A25909" w:rsidRDefault="00A25909" w:rsidP="009A6F3F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participate actively in work meetings and other opportunities to make suggestions for improved work practices</w:t>
            </w:r>
          </w:p>
        </w:tc>
      </w:tr>
    </w:tbl>
    <w:p w14:paraId="48A862AB" w14:textId="77777777" w:rsidR="00916CD7" w:rsidRPr="00981920" w:rsidRDefault="00916CD7" w:rsidP="00F1480E">
      <w:pPr>
        <w:pStyle w:val="SIText"/>
        <w:keepNext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:rsidRPr="00981920" w14:paraId="293A8FD5" w14:textId="77777777" w:rsidTr="00CA2922">
        <w:trPr>
          <w:tblHeader/>
        </w:trPr>
        <w:tc>
          <w:tcPr>
            <w:tcW w:w="5000" w:type="pct"/>
            <w:gridSpan w:val="4"/>
          </w:tcPr>
          <w:p w14:paraId="7EDE178E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Unit Mapping Information</w:t>
            </w:r>
          </w:p>
        </w:tc>
      </w:tr>
      <w:tr w:rsidR="00F1480E" w:rsidRPr="00981920" w14:paraId="07AE916D" w14:textId="77777777" w:rsidTr="00FD557D">
        <w:trPr>
          <w:tblHeader/>
        </w:trPr>
        <w:tc>
          <w:tcPr>
            <w:tcW w:w="1028" w:type="pct"/>
          </w:tcPr>
          <w:p w14:paraId="46ACB1ED" w14:textId="77777777" w:rsidR="00F1480E" w:rsidRPr="00981920" w:rsidRDefault="00F1480E" w:rsidP="00923720">
            <w:pPr>
              <w:pStyle w:val="SIText-Bold"/>
              <w:rPr>
                <w:rFonts w:cs="Arial"/>
              </w:rPr>
            </w:pPr>
            <w:r w:rsidRPr="00981920">
              <w:rPr>
                <w:rFonts w:cs="Arial"/>
              </w:rPr>
              <w:t>Code and title current version</w:t>
            </w:r>
          </w:p>
        </w:tc>
        <w:tc>
          <w:tcPr>
            <w:tcW w:w="1105" w:type="pct"/>
          </w:tcPr>
          <w:p w14:paraId="6A3298E0" w14:textId="77777777" w:rsidR="00F1480E" w:rsidRPr="00981920" w:rsidRDefault="00981920" w:rsidP="00923720">
            <w:pPr>
              <w:pStyle w:val="SIText-Bold"/>
              <w:rPr>
                <w:rFonts w:cs="Arial"/>
              </w:rPr>
            </w:pPr>
            <w:r>
              <w:rPr>
                <w:rFonts w:cs="Arial"/>
              </w:rPr>
              <w:t xml:space="preserve">Code and title previous </w:t>
            </w:r>
            <w:r w:rsidR="00F1480E" w:rsidRPr="00981920">
              <w:rPr>
                <w:rFonts w:cs="Arial"/>
              </w:rPr>
              <w:t>version</w:t>
            </w:r>
          </w:p>
        </w:tc>
        <w:tc>
          <w:tcPr>
            <w:tcW w:w="1251" w:type="pct"/>
          </w:tcPr>
          <w:p w14:paraId="321FCA07" w14:textId="77777777" w:rsidR="00F1480E" w:rsidRPr="00981920" w:rsidRDefault="00F1480E" w:rsidP="00923720">
            <w:pPr>
              <w:pStyle w:val="SIText-Bold"/>
              <w:rPr>
                <w:rFonts w:cs="Arial"/>
              </w:rPr>
            </w:pPr>
            <w:r w:rsidRPr="00981920">
              <w:rPr>
                <w:rFonts w:cs="Arial"/>
              </w:rPr>
              <w:t>Comments</w:t>
            </w:r>
          </w:p>
        </w:tc>
        <w:tc>
          <w:tcPr>
            <w:tcW w:w="1616" w:type="pct"/>
          </w:tcPr>
          <w:p w14:paraId="089643AA" w14:textId="77777777" w:rsidR="00F1480E" w:rsidRPr="00981920" w:rsidRDefault="00F1480E" w:rsidP="00923720">
            <w:pPr>
              <w:pStyle w:val="SIText-Bold"/>
              <w:rPr>
                <w:rFonts w:cs="Arial"/>
              </w:rPr>
            </w:pPr>
            <w:r w:rsidRPr="00981920">
              <w:rPr>
                <w:rFonts w:cs="Arial"/>
              </w:rPr>
              <w:t>Equivalence status</w:t>
            </w:r>
          </w:p>
        </w:tc>
      </w:tr>
      <w:tr w:rsidR="00041E59" w:rsidRPr="00981920" w14:paraId="7221BA0C" w14:textId="77777777" w:rsidTr="00FD557D">
        <w:tc>
          <w:tcPr>
            <w:tcW w:w="1028" w:type="pct"/>
          </w:tcPr>
          <w:p w14:paraId="4F0DACB5" w14:textId="77777777" w:rsidR="009453DC" w:rsidRPr="00981920" w:rsidRDefault="009453DC" w:rsidP="009453DC">
            <w:pPr>
              <w:pStyle w:val="Header"/>
              <w:rPr>
                <w:rFonts w:cs="Arial"/>
              </w:rPr>
            </w:pPr>
            <w:r w:rsidRPr="00981920">
              <w:rPr>
                <w:rFonts w:cs="Arial"/>
              </w:rPr>
              <w:t>ACMSUS201 Participate in environmentally sustainable work practices</w:t>
            </w:r>
          </w:p>
          <w:p w14:paraId="5AA778BD" w14:textId="77777777" w:rsidR="00041E59" w:rsidRPr="00981920" w:rsidRDefault="00041E59" w:rsidP="00916CD7">
            <w:pPr>
              <w:pStyle w:val="SIText"/>
              <w:rPr>
                <w:rFonts w:cs="Arial"/>
              </w:rPr>
            </w:pPr>
          </w:p>
        </w:tc>
        <w:tc>
          <w:tcPr>
            <w:tcW w:w="1105" w:type="pct"/>
          </w:tcPr>
          <w:p w14:paraId="65CFD475" w14:textId="77777777" w:rsidR="009453DC" w:rsidRPr="00981920" w:rsidRDefault="009453DC" w:rsidP="009453DC">
            <w:pPr>
              <w:pStyle w:val="Header"/>
              <w:rPr>
                <w:rFonts w:cs="Arial"/>
              </w:rPr>
            </w:pPr>
            <w:r w:rsidRPr="00981920">
              <w:rPr>
                <w:rFonts w:cs="Arial"/>
              </w:rPr>
              <w:t>ACMSUS201A Participate in environmentally sustainable work practices</w:t>
            </w:r>
          </w:p>
          <w:p w14:paraId="7116789F" w14:textId="77777777" w:rsidR="00041E59" w:rsidRPr="00981920" w:rsidRDefault="00041E59" w:rsidP="00041E59">
            <w:pPr>
              <w:pStyle w:val="SIText"/>
              <w:rPr>
                <w:rFonts w:cs="Arial"/>
              </w:rPr>
            </w:pPr>
          </w:p>
        </w:tc>
        <w:tc>
          <w:tcPr>
            <w:tcW w:w="1251" w:type="pct"/>
          </w:tcPr>
          <w:p w14:paraId="061E7017" w14:textId="77777777" w:rsidR="00041E59" w:rsidRPr="00981920" w:rsidRDefault="003E265C" w:rsidP="003E265C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>Updated to meet Standard Training Packages</w:t>
            </w:r>
          </w:p>
        </w:tc>
        <w:tc>
          <w:tcPr>
            <w:tcW w:w="1616" w:type="pct"/>
          </w:tcPr>
          <w:p w14:paraId="58BECD70" w14:textId="77777777" w:rsidR="00041E59" w:rsidRPr="00981920" w:rsidRDefault="00916CD7" w:rsidP="00041E59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 xml:space="preserve">Equivalent unit </w:t>
            </w:r>
          </w:p>
          <w:p w14:paraId="2ADC2C89" w14:textId="77777777" w:rsidR="00916CD7" w:rsidRPr="00981920" w:rsidRDefault="00916CD7" w:rsidP="00041E59">
            <w:pPr>
              <w:pStyle w:val="SIText"/>
              <w:rPr>
                <w:rFonts w:cs="Arial"/>
              </w:rPr>
            </w:pPr>
          </w:p>
          <w:p w14:paraId="5BA55E5B" w14:textId="77777777" w:rsidR="00916CD7" w:rsidRPr="00981920" w:rsidRDefault="00916CD7" w:rsidP="00041E59">
            <w:pPr>
              <w:pStyle w:val="SIText"/>
              <w:rPr>
                <w:rFonts w:cs="Arial"/>
              </w:rPr>
            </w:pPr>
          </w:p>
        </w:tc>
      </w:tr>
    </w:tbl>
    <w:p w14:paraId="12EB5B45" w14:textId="77777777" w:rsidR="00F1480E" w:rsidRPr="00981920" w:rsidRDefault="00F1480E" w:rsidP="00916CD7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81920" w14:paraId="247F3562" w14:textId="77777777" w:rsidTr="00CA2922">
        <w:tc>
          <w:tcPr>
            <w:tcW w:w="1396" w:type="pct"/>
            <w:shd w:val="clear" w:color="auto" w:fill="auto"/>
          </w:tcPr>
          <w:p w14:paraId="6A1911BF" w14:textId="77777777" w:rsidR="00F1480E" w:rsidRPr="00981920" w:rsidRDefault="00FD557D" w:rsidP="00FD557D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Links</w:t>
            </w:r>
          </w:p>
        </w:tc>
        <w:tc>
          <w:tcPr>
            <w:tcW w:w="3604" w:type="pct"/>
            <w:shd w:val="clear" w:color="auto" w:fill="auto"/>
          </w:tcPr>
          <w:p w14:paraId="5ECAC89E" w14:textId="76486D86" w:rsidR="00F1480E" w:rsidRPr="00981920" w:rsidRDefault="00D23313" w:rsidP="00A76C6C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>Companion Volume Implementat</w:t>
            </w:r>
            <w:r w:rsidR="00936291">
              <w:rPr>
                <w:rFonts w:cs="Arial"/>
              </w:rPr>
              <w:t xml:space="preserve">ion Guides are found in </w:t>
            </w:r>
            <w:proofErr w:type="spellStart"/>
            <w:r w:rsidR="00936291">
              <w:rPr>
                <w:rFonts w:cs="Arial"/>
              </w:rPr>
              <w:t>VETNet</w:t>
            </w:r>
            <w:proofErr w:type="spellEnd"/>
            <w:r w:rsidR="00936291">
              <w:rPr>
                <w:rFonts w:cs="Arial"/>
              </w:rPr>
              <w:t>:</w:t>
            </w:r>
            <w:r w:rsidRPr="00981920">
              <w:rPr>
                <w:rFonts w:cs="Arial"/>
              </w:rPr>
              <w:t xml:space="preserve"> https://vetnet.education.gov.au/Pages/TrainingDocs.aspx?q=b75f4b</w:t>
            </w:r>
            <w:r w:rsidR="00F662B4">
              <w:rPr>
                <w:rFonts w:cs="Arial"/>
              </w:rPr>
              <w:t>23-54c9-4cc9 -a5db-d3502d154103</w:t>
            </w:r>
          </w:p>
        </w:tc>
      </w:tr>
    </w:tbl>
    <w:p w14:paraId="3F2FBE3A" w14:textId="77777777" w:rsidR="00F1480E" w:rsidRPr="00981920" w:rsidRDefault="00F1480E" w:rsidP="00F1480E">
      <w:pPr>
        <w:pStyle w:val="SIText"/>
        <w:rPr>
          <w:rFonts w:cs="Arial"/>
        </w:rPr>
      </w:pPr>
    </w:p>
    <w:p w14:paraId="25A197CE" w14:textId="77777777" w:rsidR="00F1480E" w:rsidRPr="00981920" w:rsidRDefault="00F1480E" w:rsidP="00F1480E">
      <w:pPr>
        <w:pStyle w:val="SIText"/>
        <w:rPr>
          <w:rFonts w:cs="Arial"/>
        </w:rPr>
      </w:pPr>
      <w:r w:rsidRPr="00981920">
        <w:rPr>
          <w:rFonts w:cs="Arial"/>
          <w:b/>
        </w:rPr>
        <w:br w:type="page"/>
      </w:r>
    </w:p>
    <w:p w14:paraId="4349806B" w14:textId="77777777" w:rsidR="00556C4C" w:rsidRPr="00981920" w:rsidRDefault="00556C4C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981920" w14:paraId="25F6C1D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D066C1" w14:textId="77777777" w:rsidR="00556C4C" w:rsidRPr="00981920" w:rsidRDefault="00556C4C" w:rsidP="00113678">
            <w:pPr>
              <w:pStyle w:val="SIUnittitle"/>
              <w:rPr>
                <w:rFonts w:cs="Arial"/>
              </w:rPr>
            </w:pPr>
            <w:r w:rsidRPr="00981920">
              <w:rPr>
                <w:rFonts w:cs="Arial"/>
              </w:rPr>
              <w:t>TITLE</w:t>
            </w:r>
          </w:p>
        </w:tc>
        <w:tc>
          <w:tcPr>
            <w:tcW w:w="3522" w:type="pct"/>
            <w:shd w:val="clear" w:color="auto" w:fill="auto"/>
          </w:tcPr>
          <w:p w14:paraId="5702EACE" w14:textId="77777777" w:rsidR="00556C4C" w:rsidRPr="00981920" w:rsidRDefault="00556C4C" w:rsidP="00113678">
            <w:pPr>
              <w:pStyle w:val="SIUnittitle"/>
              <w:rPr>
                <w:rFonts w:cs="Arial"/>
              </w:rPr>
            </w:pPr>
            <w:r w:rsidRPr="00981920">
              <w:rPr>
                <w:rFonts w:cs="Arial"/>
              </w:rPr>
              <w:t xml:space="preserve">Assessment requirements for </w:t>
            </w:r>
            <w:r w:rsidR="00981920" w:rsidRPr="00981920">
              <w:rPr>
                <w:rFonts w:cs="Arial"/>
                <w:lang w:eastAsia="en-US"/>
              </w:rPr>
              <w:t>ACMSUS201</w:t>
            </w:r>
            <w:r w:rsidR="00981920" w:rsidRPr="00981920">
              <w:rPr>
                <w:rFonts w:cs="Arial"/>
              </w:rPr>
              <w:t xml:space="preserve"> </w:t>
            </w:r>
            <w:r w:rsidR="00981920">
              <w:rPr>
                <w:rFonts w:cs="Arial"/>
              </w:rPr>
              <w:t>Participate in environmentally sustainable work practices</w:t>
            </w:r>
          </w:p>
        </w:tc>
      </w:tr>
      <w:tr w:rsidR="00556C4C" w:rsidRPr="00981920" w14:paraId="4ED98D3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78441C" w14:textId="77777777" w:rsidR="00556C4C" w:rsidRPr="00981920" w:rsidRDefault="00D71E43" w:rsidP="00D71E43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Performance Evidence</w:t>
            </w:r>
          </w:p>
        </w:tc>
      </w:tr>
      <w:tr w:rsidR="00556C4C" w:rsidRPr="00981920" w14:paraId="77B34FD0" w14:textId="77777777" w:rsidTr="00113678">
        <w:tc>
          <w:tcPr>
            <w:tcW w:w="5000" w:type="pct"/>
            <w:gridSpan w:val="2"/>
            <w:shd w:val="clear" w:color="auto" w:fill="auto"/>
          </w:tcPr>
          <w:p w14:paraId="0B0B1C73" w14:textId="49EE3227" w:rsidR="00981920" w:rsidRDefault="00E3681D" w:rsidP="005E21DE">
            <w:pPr>
              <w:pStyle w:val="SIText"/>
              <w:rPr>
                <w:rFonts w:eastAsia="Calibri" w:cs="Arial"/>
              </w:rPr>
            </w:pPr>
            <w:r w:rsidRPr="00981920">
              <w:rPr>
                <w:rFonts w:cs="Arial"/>
              </w:rPr>
              <w:t xml:space="preserve">An individual </w:t>
            </w:r>
            <w:r w:rsidR="00556C4C" w:rsidRPr="00981920">
              <w:rPr>
                <w:rFonts w:cs="Arial"/>
              </w:rPr>
              <w:t>demonstrating competency m</w:t>
            </w:r>
            <w:r w:rsidR="00A25909">
              <w:rPr>
                <w:rFonts w:cs="Arial"/>
              </w:rPr>
              <w:t xml:space="preserve">ust satisfy all of the elements and performance criteria </w:t>
            </w:r>
            <w:r w:rsidR="00936291">
              <w:rPr>
                <w:rFonts w:cs="Arial"/>
              </w:rPr>
              <w:t>in</w:t>
            </w:r>
            <w:r w:rsidR="00556C4C" w:rsidRPr="00981920">
              <w:rPr>
                <w:rFonts w:cs="Arial"/>
              </w:rPr>
              <w:t xml:space="preserve"> this unit. There must be evidence that</w:t>
            </w:r>
            <w:r w:rsidR="009A6E6C" w:rsidRPr="00981920">
              <w:rPr>
                <w:rFonts w:cs="Arial"/>
              </w:rPr>
              <w:t xml:space="preserve"> </w:t>
            </w:r>
            <w:r w:rsidR="00556C4C" w:rsidRPr="00981920">
              <w:rPr>
                <w:rFonts w:cs="Arial"/>
              </w:rPr>
              <w:t xml:space="preserve">the </w:t>
            </w:r>
            <w:r w:rsidRPr="00981920">
              <w:rPr>
                <w:rFonts w:cs="Arial"/>
              </w:rPr>
              <w:t>individual</w:t>
            </w:r>
            <w:r w:rsidR="00366805" w:rsidRPr="00981920">
              <w:rPr>
                <w:rFonts w:cs="Arial"/>
              </w:rPr>
              <w:t xml:space="preserve"> has</w:t>
            </w:r>
            <w:r w:rsidR="005E21DE">
              <w:rPr>
                <w:rFonts w:cs="Arial"/>
              </w:rPr>
              <w:t xml:space="preserve"> </w:t>
            </w:r>
            <w:r w:rsidR="00A25909">
              <w:rPr>
                <w:rFonts w:eastAsia="Calibri" w:cs="Arial"/>
              </w:rPr>
              <w:t>d</w:t>
            </w:r>
            <w:r w:rsidR="009E2531">
              <w:rPr>
                <w:rFonts w:eastAsia="Calibri" w:cs="Arial"/>
              </w:rPr>
              <w:t xml:space="preserve">emonstrated </w:t>
            </w:r>
            <w:r w:rsidR="005E21DE">
              <w:rPr>
                <w:rFonts w:eastAsia="Calibri" w:cs="Arial"/>
              </w:rPr>
              <w:t>that they have contributed on at least two</w:t>
            </w:r>
            <w:r w:rsidR="00981920">
              <w:rPr>
                <w:rFonts w:eastAsia="Calibri" w:cs="Arial"/>
              </w:rPr>
              <w:t xml:space="preserve"> </w:t>
            </w:r>
            <w:r w:rsidR="005E21DE">
              <w:rPr>
                <w:rFonts w:eastAsia="Calibri" w:cs="Arial"/>
              </w:rPr>
              <w:t>activities regarding</w:t>
            </w:r>
            <w:r w:rsidR="009E2531">
              <w:rPr>
                <w:rFonts w:eastAsia="Calibri" w:cs="Arial"/>
              </w:rPr>
              <w:t xml:space="preserve"> </w:t>
            </w:r>
            <w:r w:rsidR="00981920">
              <w:rPr>
                <w:rFonts w:eastAsia="Calibri" w:cs="Arial"/>
              </w:rPr>
              <w:t>envir</w:t>
            </w:r>
            <w:r w:rsidR="00A25909">
              <w:rPr>
                <w:rFonts w:eastAsia="Calibri" w:cs="Arial"/>
              </w:rPr>
              <w:t>onmental sustainability in the</w:t>
            </w:r>
            <w:r w:rsidR="00981920">
              <w:rPr>
                <w:rFonts w:eastAsia="Calibri" w:cs="Arial"/>
              </w:rPr>
              <w:t xml:space="preserve"> workplace</w:t>
            </w:r>
            <w:r w:rsidR="005E21DE">
              <w:rPr>
                <w:rFonts w:eastAsia="Calibri" w:cs="Arial"/>
              </w:rPr>
              <w:t xml:space="preserve"> and includes:</w:t>
            </w:r>
          </w:p>
          <w:p w14:paraId="444F145C" w14:textId="1408DD27" w:rsidR="005E21DE" w:rsidRPr="004B269F" w:rsidRDefault="00CD4B8E" w:rsidP="004B269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identified </w:t>
            </w:r>
            <w:r w:rsidR="005E21DE" w:rsidRPr="004B269F">
              <w:rPr>
                <w:rFonts w:eastAsia="Calibri" w:cs="Arial"/>
              </w:rPr>
              <w:t>and complied with a range of environment/sustainability legislation and procedural requirements relevant to daily responsibilities</w:t>
            </w:r>
          </w:p>
          <w:p w14:paraId="28CCEA2F" w14:textId="77777777" w:rsidR="005E21DE" w:rsidRPr="004B269F" w:rsidRDefault="005E21DE" w:rsidP="004B269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4B269F">
              <w:rPr>
                <w:rFonts w:eastAsia="Calibri" w:cs="Arial"/>
              </w:rPr>
              <w:t xml:space="preserve">identified and reported on current resource usage measurements </w:t>
            </w:r>
            <w:r w:rsidR="00EE7CB6" w:rsidRPr="004B269F">
              <w:rPr>
                <w:rFonts w:eastAsia="Calibri" w:cs="Arial"/>
              </w:rPr>
              <w:t xml:space="preserve">and identified </w:t>
            </w:r>
            <w:r w:rsidRPr="004B269F">
              <w:rPr>
                <w:rFonts w:eastAsia="Calibri" w:cs="Arial"/>
              </w:rPr>
              <w:t>inefficiencies and suggested opportunities for improvements</w:t>
            </w:r>
          </w:p>
          <w:p w14:paraId="5840E1F8" w14:textId="77777777" w:rsidR="005E21DE" w:rsidRPr="004B269F" w:rsidRDefault="005E21DE" w:rsidP="004B269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4B269F">
              <w:rPr>
                <w:rFonts w:eastAsia="Calibri" w:cs="Arial"/>
              </w:rPr>
              <w:t>followed organisation information to participate in and support an improved resource efficiency process and reported as required</w:t>
            </w:r>
          </w:p>
          <w:p w14:paraId="4C29B937" w14:textId="77777777" w:rsidR="00556C4C" w:rsidRPr="00981920" w:rsidRDefault="005E21DE" w:rsidP="004B269F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4B269F">
              <w:rPr>
                <w:rFonts w:eastAsia="Calibri" w:cs="Arial"/>
              </w:rPr>
              <w:t>identified and reported environmental hazards/risks in the workplace and suggested opportunities for improvements.</w:t>
            </w:r>
          </w:p>
        </w:tc>
      </w:tr>
    </w:tbl>
    <w:p w14:paraId="3509E0CA" w14:textId="77777777" w:rsidR="00556C4C" w:rsidRPr="00981920" w:rsidRDefault="00556C4C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981920" w14:paraId="6DBA138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017388" w14:textId="77777777" w:rsidR="00F1480E" w:rsidRPr="00981920" w:rsidRDefault="00D71E43" w:rsidP="00D71E43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Knowledge Evidence</w:t>
            </w:r>
          </w:p>
        </w:tc>
      </w:tr>
      <w:tr w:rsidR="00F1480E" w:rsidRPr="00981920" w14:paraId="7AEF19B7" w14:textId="77777777" w:rsidTr="00CA2922">
        <w:tc>
          <w:tcPr>
            <w:tcW w:w="5000" w:type="pct"/>
            <w:shd w:val="clear" w:color="auto" w:fill="auto"/>
          </w:tcPr>
          <w:p w14:paraId="168CFEB0" w14:textId="77777777" w:rsidR="008B2C77" w:rsidRPr="00981920" w:rsidRDefault="00E3681D" w:rsidP="002C55E9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 xml:space="preserve">An individual </w:t>
            </w:r>
            <w:r w:rsidR="008B2C77" w:rsidRPr="00981920">
              <w:rPr>
                <w:rFonts w:cs="Arial"/>
              </w:rPr>
              <w:t>must be a</w:t>
            </w:r>
            <w:r w:rsidR="00434ECE" w:rsidRPr="00981920">
              <w:rPr>
                <w:rFonts w:cs="Arial"/>
              </w:rPr>
              <w:t>ble to demonstrate the</w:t>
            </w:r>
            <w:r w:rsidR="008B2C77" w:rsidRPr="00981920">
              <w:rPr>
                <w:rFonts w:cs="Arial"/>
              </w:rPr>
              <w:t xml:space="preserve"> knowledge required to perform the tasks outlined in the elements and performance criteria of this unit. This includes knowledge of:</w:t>
            </w:r>
          </w:p>
          <w:p w14:paraId="3A136028" w14:textId="77777777" w:rsidR="00C23599" w:rsidRPr="009E2531" w:rsidRDefault="00C23599" w:rsidP="009E25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9E2531">
              <w:rPr>
                <w:rFonts w:eastAsia="Calibri" w:cs="Arial"/>
              </w:rPr>
              <w:t>environmental and resource efficiency procedures and processes applicable to work role</w:t>
            </w:r>
          </w:p>
          <w:p w14:paraId="145CBD8B" w14:textId="77777777" w:rsidR="00C23599" w:rsidRPr="009E2531" w:rsidRDefault="009E2531" w:rsidP="009E25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methods for the </w:t>
            </w:r>
            <w:r w:rsidR="00C23599" w:rsidRPr="009E2531">
              <w:rPr>
                <w:rFonts w:eastAsia="Calibri" w:cs="Arial"/>
              </w:rPr>
              <w:t>measure</w:t>
            </w:r>
            <w:r>
              <w:rPr>
                <w:rFonts w:eastAsia="Calibri" w:cs="Arial"/>
              </w:rPr>
              <w:t xml:space="preserve">ment </w:t>
            </w:r>
            <w:r w:rsidR="00C23599" w:rsidRPr="009E2531">
              <w:rPr>
                <w:rFonts w:eastAsia="Calibri" w:cs="Arial"/>
              </w:rPr>
              <w:t>and document</w:t>
            </w:r>
            <w:r>
              <w:rPr>
                <w:rFonts w:eastAsia="Calibri" w:cs="Arial"/>
              </w:rPr>
              <w:t>ation of</w:t>
            </w:r>
            <w:r w:rsidR="00C23599" w:rsidRPr="009E2531">
              <w:rPr>
                <w:rFonts w:eastAsia="Calibri" w:cs="Arial"/>
              </w:rPr>
              <w:t xml:space="preserve"> usage of resources</w:t>
            </w:r>
          </w:p>
          <w:p w14:paraId="44E03D43" w14:textId="77777777" w:rsidR="00C23599" w:rsidRPr="009E2531" w:rsidRDefault="00C23599" w:rsidP="009E25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9E2531">
              <w:rPr>
                <w:rFonts w:eastAsia="Calibri" w:cs="Arial"/>
              </w:rPr>
              <w:t>environmental regulations</w:t>
            </w:r>
            <w:r w:rsidR="009E2531">
              <w:rPr>
                <w:rFonts w:eastAsia="Calibri" w:cs="Arial"/>
              </w:rPr>
              <w:t xml:space="preserve"> relevant to the work role in the animal care industry</w:t>
            </w:r>
          </w:p>
          <w:p w14:paraId="699AFCEB" w14:textId="77777777" w:rsidR="00C23599" w:rsidRPr="009E2531" w:rsidRDefault="00C23599" w:rsidP="009E2531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9E2531">
              <w:rPr>
                <w:rFonts w:eastAsia="Calibri" w:cs="Arial"/>
              </w:rPr>
              <w:t>environmental, and resource hazards and risks associated with the animal care sector in which the individual works</w:t>
            </w:r>
          </w:p>
          <w:p w14:paraId="79E5AB71" w14:textId="77777777" w:rsidR="00C23599" w:rsidRPr="00981920" w:rsidRDefault="00C23599" w:rsidP="009E2531">
            <w:pPr>
              <w:pStyle w:val="SIBulletList1"/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9E2531">
              <w:rPr>
                <w:rFonts w:eastAsia="Calibri" w:cs="Arial"/>
              </w:rPr>
              <w:t>procedures for reporting environmental and resource hazards and risks, and environment and resource efficiencies and inefficiencies</w:t>
            </w:r>
            <w:r w:rsidR="009E2531">
              <w:rPr>
                <w:rFonts w:eastAsia="Calibri" w:cs="Arial"/>
              </w:rPr>
              <w:t>.</w:t>
            </w:r>
          </w:p>
        </w:tc>
      </w:tr>
    </w:tbl>
    <w:p w14:paraId="41BA7180" w14:textId="77777777" w:rsidR="00F1480E" w:rsidRPr="00981920" w:rsidRDefault="00F1480E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981920" w14:paraId="442D19C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A10442" w14:textId="77777777" w:rsidR="00F1480E" w:rsidRPr="00981920" w:rsidRDefault="00D71E43" w:rsidP="00D71E43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Assessment Conditions</w:t>
            </w:r>
          </w:p>
        </w:tc>
      </w:tr>
      <w:tr w:rsidR="00F1480E" w:rsidRPr="00981920" w14:paraId="04AC4BC4" w14:textId="77777777" w:rsidTr="00CA2922">
        <w:tc>
          <w:tcPr>
            <w:tcW w:w="5000" w:type="pct"/>
            <w:shd w:val="clear" w:color="auto" w:fill="auto"/>
          </w:tcPr>
          <w:p w14:paraId="11423A1D" w14:textId="77777777" w:rsidR="004A7706" w:rsidRPr="00981920" w:rsidRDefault="004A7706" w:rsidP="004A7706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 xml:space="preserve">Assessment of this unit of competency must take place under the following conditions: </w:t>
            </w:r>
          </w:p>
          <w:p w14:paraId="34BC3012" w14:textId="77777777" w:rsidR="004E6741" w:rsidRPr="00EE7CB6" w:rsidRDefault="001D7F5B" w:rsidP="00EE7CB6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EE7CB6">
              <w:rPr>
                <w:rFonts w:eastAsia="Calibri" w:cs="Arial"/>
              </w:rPr>
              <w:t>p</w:t>
            </w:r>
            <w:r w:rsidR="004E6741" w:rsidRPr="00EE7CB6">
              <w:rPr>
                <w:rFonts w:eastAsia="Calibri" w:cs="Arial"/>
              </w:rPr>
              <w:t>hysical conditions</w:t>
            </w:r>
            <w:r w:rsidRPr="00EE7CB6">
              <w:rPr>
                <w:rFonts w:eastAsia="Calibri" w:cs="Arial"/>
              </w:rPr>
              <w:t>:</w:t>
            </w:r>
          </w:p>
          <w:p w14:paraId="328CEB98" w14:textId="77777777" w:rsidR="004E6741" w:rsidRPr="00981920" w:rsidRDefault="0021210E" w:rsidP="00EE7CB6">
            <w:pPr>
              <w:pStyle w:val="SIBulletList2"/>
              <w:rPr>
                <w:rFonts w:eastAsia="Calibri"/>
              </w:rPr>
            </w:pPr>
            <w:r w:rsidRPr="00981920">
              <w:t xml:space="preserve">skills must be demonstrated in </w:t>
            </w:r>
            <w:r w:rsidR="004E6741" w:rsidRPr="00981920">
              <w:t xml:space="preserve">a workplace setting or an environment that accurately </w:t>
            </w:r>
            <w:r w:rsidR="004C6C8B">
              <w:t>represents workplace conditions.</w:t>
            </w:r>
          </w:p>
          <w:p w14:paraId="633703E1" w14:textId="77777777" w:rsidR="00EE7CB6" w:rsidRDefault="00EE7CB6" w:rsidP="00EE7CB6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EE7CB6">
              <w:rPr>
                <w:rFonts w:eastAsia="Calibri" w:cs="Arial"/>
              </w:rPr>
              <w:t>specifications:</w:t>
            </w:r>
          </w:p>
          <w:p w14:paraId="509CAA86" w14:textId="77777777" w:rsidR="00EE7CB6" w:rsidRPr="00EE7CB6" w:rsidRDefault="00EE7CB6" w:rsidP="00EE7CB6">
            <w:pPr>
              <w:pStyle w:val="SIBulletList2"/>
              <w:rPr>
                <w:rFonts w:eastAsia="Calibri"/>
              </w:rPr>
            </w:pPr>
            <w:r w:rsidRPr="00EE7CB6">
              <w:rPr>
                <w:rFonts w:eastAsia="Calibri"/>
              </w:rPr>
              <w:t>environmental legislation</w:t>
            </w:r>
            <w:r>
              <w:rPr>
                <w:rFonts w:eastAsia="Calibri"/>
              </w:rPr>
              <w:t xml:space="preserve"> and regulations </w:t>
            </w:r>
          </w:p>
          <w:p w14:paraId="2546C414" w14:textId="77777777" w:rsidR="0021210E" w:rsidRPr="00981920" w:rsidRDefault="0021210E" w:rsidP="007134FE">
            <w:pPr>
              <w:pStyle w:val="SIText"/>
              <w:rPr>
                <w:rFonts w:cs="Arial"/>
              </w:rPr>
            </w:pPr>
          </w:p>
          <w:p w14:paraId="26DCEE3C" w14:textId="77777777" w:rsidR="00F1480E" w:rsidRPr="00981920" w:rsidRDefault="007134FE" w:rsidP="00333482">
            <w:pPr>
              <w:pStyle w:val="SIText"/>
              <w:rPr>
                <w:rFonts w:eastAsia="Calibri" w:cs="Arial"/>
              </w:rPr>
            </w:pPr>
            <w:r w:rsidRPr="00981920">
              <w:rPr>
                <w:rFonts w:cs="Arial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0E35B1E" w14:textId="77777777" w:rsidR="00F1480E" w:rsidRPr="00981920" w:rsidRDefault="00F1480E" w:rsidP="00F1480E">
      <w:pPr>
        <w:pStyle w:val="SITex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981920" w14:paraId="6C673D8B" w14:textId="77777777" w:rsidTr="00CA2922">
        <w:tc>
          <w:tcPr>
            <w:tcW w:w="1323" w:type="pct"/>
            <w:shd w:val="clear" w:color="auto" w:fill="auto"/>
          </w:tcPr>
          <w:p w14:paraId="0D2B8197" w14:textId="77777777" w:rsidR="00F1480E" w:rsidRPr="00981920" w:rsidRDefault="00D71E43" w:rsidP="00D71E43">
            <w:pPr>
              <w:pStyle w:val="SIHeading2"/>
              <w:rPr>
                <w:rFonts w:cs="Arial"/>
              </w:rPr>
            </w:pPr>
            <w:r w:rsidRPr="00981920">
              <w:rPr>
                <w:rFonts w:cs="Arial"/>
              </w:rPr>
              <w:t>Links</w:t>
            </w:r>
          </w:p>
        </w:tc>
        <w:tc>
          <w:tcPr>
            <w:tcW w:w="3677" w:type="pct"/>
            <w:shd w:val="clear" w:color="auto" w:fill="auto"/>
          </w:tcPr>
          <w:p w14:paraId="591742B7" w14:textId="1E6D4814" w:rsidR="00F1480E" w:rsidRPr="00981920" w:rsidRDefault="00D23313" w:rsidP="00916CD7">
            <w:pPr>
              <w:pStyle w:val="SIText"/>
              <w:rPr>
                <w:rFonts w:cs="Arial"/>
              </w:rPr>
            </w:pPr>
            <w:r w:rsidRPr="00981920">
              <w:rPr>
                <w:rFonts w:cs="Arial"/>
              </w:rPr>
              <w:t xml:space="preserve">Companion Volume Implementation Guides are found in </w:t>
            </w:r>
            <w:proofErr w:type="spellStart"/>
            <w:r w:rsidRPr="00981920">
              <w:rPr>
                <w:rFonts w:cs="Arial"/>
              </w:rPr>
              <w:t>VETNet</w:t>
            </w:r>
            <w:proofErr w:type="spellEnd"/>
            <w:r w:rsidR="00936291">
              <w:rPr>
                <w:rFonts w:cs="Arial"/>
              </w:rPr>
              <w:t>:</w:t>
            </w:r>
            <w:r w:rsidRPr="00981920">
              <w:rPr>
                <w:rFonts w:cs="Arial"/>
              </w:rPr>
              <w:t xml:space="preserve"> https://vetnet.education.gov.au/Pages/TrainingDocs.aspx?q=b75f4b</w:t>
            </w:r>
            <w:r w:rsidR="00F662B4">
              <w:rPr>
                <w:rFonts w:cs="Arial"/>
              </w:rPr>
              <w:t>23-54c9-4cc9 -a5db-d3502d154103</w:t>
            </w:r>
          </w:p>
        </w:tc>
      </w:tr>
    </w:tbl>
    <w:p w14:paraId="4FB1003F" w14:textId="77777777" w:rsidR="00F1480E" w:rsidRPr="00981920" w:rsidRDefault="00F1480E" w:rsidP="00F1480E">
      <w:pPr>
        <w:pStyle w:val="SIText"/>
        <w:rPr>
          <w:rFonts w:cs="Arial"/>
        </w:rPr>
      </w:pPr>
    </w:p>
    <w:sectPr w:rsidR="00F1480E" w:rsidRPr="00981920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A2B9" w14:textId="77777777" w:rsidR="004B63CF" w:rsidRDefault="004B63CF" w:rsidP="00BF3F0A">
      <w:r>
        <w:separator/>
      </w:r>
    </w:p>
    <w:p w14:paraId="3F085D63" w14:textId="77777777" w:rsidR="004B63CF" w:rsidRDefault="004B63CF"/>
  </w:endnote>
  <w:endnote w:type="continuationSeparator" w:id="0">
    <w:p w14:paraId="1C6B9426" w14:textId="77777777" w:rsidR="004B63CF" w:rsidRDefault="004B63CF" w:rsidP="00BF3F0A">
      <w:r>
        <w:continuationSeparator/>
      </w:r>
    </w:p>
    <w:p w14:paraId="661F4274" w14:textId="77777777" w:rsidR="004B63CF" w:rsidRDefault="004B6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BA676" w14:textId="03F956FA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ADDD3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F6779" w14:textId="77777777" w:rsidR="004B63CF" w:rsidRDefault="004B63CF" w:rsidP="00BF3F0A">
      <w:r>
        <w:separator/>
      </w:r>
    </w:p>
    <w:p w14:paraId="72D195D9" w14:textId="77777777" w:rsidR="004B63CF" w:rsidRDefault="004B63CF"/>
  </w:footnote>
  <w:footnote w:type="continuationSeparator" w:id="0">
    <w:p w14:paraId="48158254" w14:textId="77777777" w:rsidR="004B63CF" w:rsidRDefault="004B63CF" w:rsidP="00BF3F0A">
      <w:r>
        <w:continuationSeparator/>
      </w:r>
    </w:p>
    <w:p w14:paraId="7C35A6C1" w14:textId="77777777" w:rsidR="004B63CF" w:rsidRDefault="004B6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919AA" w14:textId="77777777" w:rsidR="009C2650" w:rsidRPr="0061608B" w:rsidRDefault="0061608B" w:rsidP="0061608B">
    <w:pPr>
      <w:pStyle w:val="Header"/>
    </w:pPr>
    <w:r>
      <w:t xml:space="preserve">ACMSUS201 </w:t>
    </w:r>
    <w:r w:rsidRPr="0061608B">
      <w:t>Participate in environmentally sustainable work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8B"/>
    <w:rsid w:val="000014B9"/>
    <w:rsid w:val="00005A15"/>
    <w:rsid w:val="0001108F"/>
    <w:rsid w:val="000115E2"/>
    <w:rsid w:val="00012128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9093B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788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76DB8"/>
    <w:rsid w:val="00282664"/>
    <w:rsid w:val="00285FB8"/>
    <w:rsid w:val="002A4CD3"/>
    <w:rsid w:val="002C55E9"/>
    <w:rsid w:val="002D0C8B"/>
    <w:rsid w:val="002D330A"/>
    <w:rsid w:val="002E193E"/>
    <w:rsid w:val="00304269"/>
    <w:rsid w:val="00310A6A"/>
    <w:rsid w:val="00333482"/>
    <w:rsid w:val="00337E82"/>
    <w:rsid w:val="00350BB1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265C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75172"/>
    <w:rsid w:val="004758B0"/>
    <w:rsid w:val="004832D2"/>
    <w:rsid w:val="00485559"/>
    <w:rsid w:val="004A142B"/>
    <w:rsid w:val="004A1FC8"/>
    <w:rsid w:val="004A44E8"/>
    <w:rsid w:val="004A7706"/>
    <w:rsid w:val="004B269F"/>
    <w:rsid w:val="004B29B7"/>
    <w:rsid w:val="004B63CF"/>
    <w:rsid w:val="004C2244"/>
    <w:rsid w:val="004C6C8B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3B5"/>
    <w:rsid w:val="00583902"/>
    <w:rsid w:val="005A3AA5"/>
    <w:rsid w:val="005A6C9C"/>
    <w:rsid w:val="005A74DC"/>
    <w:rsid w:val="005B5146"/>
    <w:rsid w:val="005D7ACA"/>
    <w:rsid w:val="005E21DE"/>
    <w:rsid w:val="005F027A"/>
    <w:rsid w:val="005F33CC"/>
    <w:rsid w:val="006121D4"/>
    <w:rsid w:val="00613B49"/>
    <w:rsid w:val="0061608B"/>
    <w:rsid w:val="00620E8E"/>
    <w:rsid w:val="00633CFE"/>
    <w:rsid w:val="00634FCA"/>
    <w:rsid w:val="00643D1B"/>
    <w:rsid w:val="00645047"/>
    <w:rsid w:val="006452B8"/>
    <w:rsid w:val="00652E62"/>
    <w:rsid w:val="00685120"/>
    <w:rsid w:val="00686A49"/>
    <w:rsid w:val="00687B62"/>
    <w:rsid w:val="00690C44"/>
    <w:rsid w:val="006969D9"/>
    <w:rsid w:val="006A2B68"/>
    <w:rsid w:val="006C2F32"/>
    <w:rsid w:val="006D4448"/>
    <w:rsid w:val="006E2C4D"/>
    <w:rsid w:val="00705EEC"/>
    <w:rsid w:val="00707741"/>
    <w:rsid w:val="007134FE"/>
    <w:rsid w:val="00722769"/>
    <w:rsid w:val="00727901"/>
    <w:rsid w:val="0073075B"/>
    <w:rsid w:val="007341FF"/>
    <w:rsid w:val="007404E9"/>
    <w:rsid w:val="007444CF"/>
    <w:rsid w:val="0076523B"/>
    <w:rsid w:val="00771B60"/>
    <w:rsid w:val="00781D77"/>
    <w:rsid w:val="00783549"/>
    <w:rsid w:val="007860B7"/>
    <w:rsid w:val="00786DC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18AF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6291"/>
    <w:rsid w:val="009453DC"/>
    <w:rsid w:val="009527CB"/>
    <w:rsid w:val="00953835"/>
    <w:rsid w:val="00960F6C"/>
    <w:rsid w:val="00965475"/>
    <w:rsid w:val="00970747"/>
    <w:rsid w:val="00981920"/>
    <w:rsid w:val="009A5900"/>
    <w:rsid w:val="009A6E6C"/>
    <w:rsid w:val="009A6F3F"/>
    <w:rsid w:val="009B331A"/>
    <w:rsid w:val="009C2650"/>
    <w:rsid w:val="009D15E2"/>
    <w:rsid w:val="009D15FE"/>
    <w:rsid w:val="009D5D2C"/>
    <w:rsid w:val="009E2531"/>
    <w:rsid w:val="009F0DCC"/>
    <w:rsid w:val="009F11CA"/>
    <w:rsid w:val="00A0695B"/>
    <w:rsid w:val="00A13052"/>
    <w:rsid w:val="00A216A8"/>
    <w:rsid w:val="00A223A6"/>
    <w:rsid w:val="00A25909"/>
    <w:rsid w:val="00A5092E"/>
    <w:rsid w:val="00A56E14"/>
    <w:rsid w:val="00A6476B"/>
    <w:rsid w:val="00A76C6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3599"/>
    <w:rsid w:val="00C246D1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B8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313"/>
    <w:rsid w:val="00D25D16"/>
    <w:rsid w:val="00D32124"/>
    <w:rsid w:val="00D54C76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1B30"/>
    <w:rsid w:val="00E238E6"/>
    <w:rsid w:val="00E35064"/>
    <w:rsid w:val="00E3681D"/>
    <w:rsid w:val="00E36BAD"/>
    <w:rsid w:val="00E501F0"/>
    <w:rsid w:val="00E84DEE"/>
    <w:rsid w:val="00E91BFF"/>
    <w:rsid w:val="00E92933"/>
    <w:rsid w:val="00EB0AA4"/>
    <w:rsid w:val="00EB5C88"/>
    <w:rsid w:val="00EC0469"/>
    <w:rsid w:val="00EE5971"/>
    <w:rsid w:val="00EE7CB6"/>
    <w:rsid w:val="00EF01F8"/>
    <w:rsid w:val="00EF40EF"/>
    <w:rsid w:val="00F1480E"/>
    <w:rsid w:val="00F1497D"/>
    <w:rsid w:val="00F16AAC"/>
    <w:rsid w:val="00F2216F"/>
    <w:rsid w:val="00F438FC"/>
    <w:rsid w:val="00F5616F"/>
    <w:rsid w:val="00F56827"/>
    <w:rsid w:val="00F65EF0"/>
    <w:rsid w:val="00F662B4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9C91"/>
  <w15:docId w15:val="{13ECA4DA-2AB6-47A5-9167-AB2E21A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AFSAUnitCode">
    <w:name w:val="AFSA Unit Code"/>
    <w:basedOn w:val="Normal"/>
    <w:qFormat/>
    <w:rsid w:val="0061608B"/>
    <w:rPr>
      <w:rFonts w:ascii="Calibri" w:hAnsi="Calibri"/>
      <w:b/>
      <w:caps/>
      <w:sz w:val="24"/>
    </w:rPr>
  </w:style>
  <w:style w:type="character" w:customStyle="1" w:styleId="AFSAUnitTitleChar">
    <w:name w:val="AFSA Unit Title Char"/>
    <w:basedOn w:val="DefaultParagraphFont"/>
    <w:link w:val="AFSAUnitTitle"/>
    <w:locked/>
    <w:rsid w:val="0061608B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UnitTitle">
    <w:name w:val="AFSA Unit Title"/>
    <w:basedOn w:val="Normal"/>
    <w:link w:val="AFSAUnitTitleChar"/>
    <w:qFormat/>
    <w:rsid w:val="0061608B"/>
    <w:rPr>
      <w:rFonts w:ascii="Calibri" w:hAnsi="Calibri"/>
      <w:b/>
      <w:sz w:val="24"/>
    </w:rPr>
  </w:style>
  <w:style w:type="paragraph" w:customStyle="1" w:styleId="AFSAText">
    <w:name w:val="AFSA Text"/>
    <w:basedOn w:val="Normal"/>
    <w:qFormat/>
    <w:rsid w:val="005D7ACA"/>
    <w:pPr>
      <w:spacing w:before="120"/>
      <w:jc w:val="both"/>
    </w:pPr>
    <w:rPr>
      <w:rFonts w:ascii="Calibri" w:hAnsi="Calibri"/>
      <w:lang w:eastAsia="en-US"/>
    </w:rPr>
  </w:style>
  <w:style w:type="character" w:customStyle="1" w:styleId="AFSANumListLevel1Char">
    <w:name w:val="AFSA Num List Level 1 Char"/>
    <w:basedOn w:val="DefaultParagraphFont"/>
    <w:link w:val="AFSANumListLevel1"/>
    <w:locked/>
    <w:rsid w:val="008818AF"/>
    <w:rPr>
      <w:rFonts w:ascii="Calibri" w:eastAsia="Times New Roman" w:hAnsi="Calibri" w:cs="Times New Roman"/>
    </w:rPr>
  </w:style>
  <w:style w:type="paragraph" w:customStyle="1" w:styleId="AFSANumListLevel1">
    <w:name w:val="AFSA Num List Level 1"/>
    <w:link w:val="AFSANumListLevel1Char"/>
    <w:qFormat/>
    <w:rsid w:val="008818A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locked/>
    <w:rsid w:val="008818AF"/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qFormat/>
    <w:rsid w:val="008818AF"/>
    <w:pPr>
      <w:tabs>
        <w:tab w:val="clear" w:pos="357"/>
        <w:tab w:val="num" w:pos="567"/>
      </w:tabs>
      <w:ind w:left="567" w:hanging="567"/>
    </w:pPr>
  </w:style>
  <w:style w:type="character" w:customStyle="1" w:styleId="AFSABulletList1Char">
    <w:name w:val="AFSA Bullet List 1 Char"/>
    <w:basedOn w:val="DefaultParagraphFont"/>
    <w:link w:val="AFSABulletList1"/>
    <w:locked/>
    <w:rsid w:val="00C23599"/>
    <w:rPr>
      <w:rFonts w:ascii="Calibri" w:eastAsia="Times New Roman" w:hAnsi="Calibri" w:cs="Times New Roman"/>
    </w:rPr>
  </w:style>
  <w:style w:type="paragraph" w:customStyle="1" w:styleId="AFSABulletList1">
    <w:name w:val="AFSA Bullet List 1"/>
    <w:link w:val="AFSABulletList1Char"/>
    <w:autoRedefine/>
    <w:qFormat/>
    <w:rsid w:val="00C23599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mon\Desktop\New%20folder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57f0968-8cda-4b4d-8336-d0f070c45ed5">STA approval</Status>
    <Assigned_x0020_to0 xmlns="c57f0968-8cda-4b4d-8336-d0f070c45ed5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743EE416404BA3B3427423C1F9B8" ma:contentTypeVersion="4" ma:contentTypeDescription="Create a new document." ma:contentTypeScope="" ma:versionID="ef58b14c2fb7b84e62759eedb575c3d9">
  <xsd:schema xmlns:xsd="http://www.w3.org/2001/XMLSchema" xmlns:xs="http://www.w3.org/2001/XMLSchema" xmlns:p="http://schemas.microsoft.com/office/2006/metadata/properties" xmlns:ns2="c57f0968-8cda-4b4d-8336-d0f070c45ed5" targetNamespace="http://schemas.microsoft.com/office/2006/metadata/properties" ma:root="true" ma:fieldsID="da78bcc0f23a9673a4b0511365b69fd5" ns2:_="">
    <xsd:import namespace="c57f0968-8cda-4b4d-8336-d0f070c45ed5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0968-8cda-4b4d-8336-d0f070c45ed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7f0968-8cda-4b4d-8336-d0f070c45e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91569-10A5-4BDF-AD4C-5BD07B84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0968-8cda-4b4d-8336-d0f070c45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0FD61-8E55-436F-808B-0B3A48A6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ACMSUS201 Participate in environmentally sustainable work practices</vt:lpstr>
    </vt:vector>
  </TitlesOfParts>
  <Company>AgriFood Skills Australia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ACMSUS201 Participate in environmentally sustainable work practices</dc:title>
  <dc:creator>eamon cole-flynn</dc:creator>
  <cp:lastModifiedBy>Wayne Jones</cp:lastModifiedBy>
  <cp:revision>8</cp:revision>
  <cp:lastPrinted>2016-05-27T05:21:00Z</cp:lastPrinted>
  <dcterms:created xsi:type="dcterms:W3CDTF">2017-07-10T01:52:00Z</dcterms:created>
  <dcterms:modified xsi:type="dcterms:W3CDTF">2017-08-15T04:31:00Z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0x010100A5D7743EE416404BA3B3427423C1F9B8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_DocHome">
    <vt:i4>282753928</vt:i4>
  </property>
  <property fmtid="{D5CDD505-2E9C-101B-9397-08002B2CF9AE}" pid="19" name="TrainingPackageComponent">
    <vt:lpwstr>2</vt:lpwstr>
  </property>
</Properties>
</file>