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A8FA7D" w14:textId="77777777" w:rsidR="006B1DEA" w:rsidRPr="00CA75AB" w:rsidRDefault="00871D40" w:rsidP="006B1DEA">
      <w:pPr>
        <w:pStyle w:val="SIUnittitle"/>
        <w:tabs>
          <w:tab w:val="left" w:pos="2630"/>
        </w:tabs>
        <w:ind w:left="113"/>
        <w:rPr>
          <w:b w:val="0"/>
          <w:sz w:val="20"/>
          <w:szCs w:val="20"/>
        </w:rPr>
      </w:pPr>
      <w:r w:rsidRPr="00CA75AB">
        <w:rPr>
          <w:b w:val="0"/>
          <w:sz w:val="20"/>
          <w:szCs w:val="20"/>
        </w:rPr>
        <w:t>Forest Harvesting Optimisation Project</w:t>
      </w:r>
    </w:p>
    <w:p w14:paraId="7DA8FA7F" w14:textId="77777777" w:rsidR="00871D40" w:rsidRPr="009266D2" w:rsidRDefault="00036113" w:rsidP="00CA75AB">
      <w:pPr>
        <w:rPr>
          <w:color w:val="18833D" w:themeColor="accent1"/>
          <w:sz w:val="40"/>
          <w:szCs w:val="40"/>
        </w:rPr>
      </w:pPr>
      <w:r w:rsidRPr="009266D2">
        <w:rPr>
          <w:color w:val="18833D" w:themeColor="accent1"/>
          <w:sz w:val="40"/>
          <w:szCs w:val="40"/>
        </w:rPr>
        <w:t xml:space="preserve">Changes </w:t>
      </w:r>
      <w:r w:rsidR="004872D6" w:rsidRPr="009266D2">
        <w:rPr>
          <w:color w:val="18833D" w:themeColor="accent1"/>
          <w:sz w:val="40"/>
          <w:szCs w:val="40"/>
        </w:rPr>
        <w:t>to</w:t>
      </w:r>
      <w:r w:rsidRPr="009266D2">
        <w:rPr>
          <w:color w:val="18833D" w:themeColor="accent1"/>
          <w:sz w:val="40"/>
          <w:szCs w:val="40"/>
        </w:rPr>
        <w:t xml:space="preserve"> Units from the Existing Version</w:t>
      </w:r>
    </w:p>
    <w:p w14:paraId="3A2B8D40" w14:textId="77777777" w:rsidR="00CA75AB" w:rsidRDefault="00CA75AB" w:rsidP="00CA75AB">
      <w:pPr>
        <w:rPr>
          <w:b/>
        </w:rPr>
      </w:pPr>
      <w:r w:rsidRPr="00D472D4">
        <w:rPr>
          <w:b/>
        </w:rPr>
        <w:t>July 2017</w:t>
      </w:r>
    </w:p>
    <w:p w14:paraId="7DA8FA80" w14:textId="77777777" w:rsidR="00871D40" w:rsidRPr="004872D6" w:rsidRDefault="00871D40" w:rsidP="006B1DEA">
      <w:pPr>
        <w:pStyle w:val="SIUnittitle"/>
        <w:tabs>
          <w:tab w:val="left" w:pos="2630"/>
        </w:tabs>
        <w:ind w:left="113"/>
        <w:rPr>
          <w:b w:val="0"/>
          <w:sz w:val="16"/>
          <w:szCs w:val="16"/>
        </w:rPr>
      </w:pPr>
    </w:p>
    <w:tbl>
      <w:tblPr>
        <w:tblStyle w:val="TableGrid"/>
        <w:tblW w:w="0" w:type="auto"/>
        <w:tblBorders>
          <w:top w:val="single" w:sz="4" w:space="0" w:color="555555" w:themeColor="accent6"/>
          <w:left w:val="single" w:sz="4" w:space="0" w:color="555555" w:themeColor="accent6"/>
          <w:bottom w:val="single" w:sz="4" w:space="0" w:color="555555" w:themeColor="accent6"/>
          <w:right w:val="single" w:sz="4" w:space="0" w:color="555555" w:themeColor="accent6"/>
          <w:insideH w:val="single" w:sz="4" w:space="0" w:color="555555" w:themeColor="accent6"/>
          <w:insideV w:val="single" w:sz="4" w:space="0" w:color="555555" w:themeColor="accent6"/>
        </w:tblBorders>
        <w:tblLook w:val="04A0" w:firstRow="1" w:lastRow="0" w:firstColumn="1" w:lastColumn="0" w:noHBand="0" w:noVBand="1"/>
      </w:tblPr>
      <w:tblGrid>
        <w:gridCol w:w="3681"/>
        <w:gridCol w:w="5335"/>
      </w:tblGrid>
      <w:tr w:rsidR="00036113" w:rsidRPr="00CA75AB" w14:paraId="7DA8FA83" w14:textId="77777777" w:rsidTr="009266D2">
        <w:tc>
          <w:tcPr>
            <w:tcW w:w="3681" w:type="dxa"/>
            <w:shd w:val="clear" w:color="auto" w:fill="18833D" w:themeFill="accent1"/>
          </w:tcPr>
          <w:p w14:paraId="7DA8FA81" w14:textId="77777777" w:rsidR="00871D40" w:rsidRPr="00CA75AB" w:rsidRDefault="00871D40" w:rsidP="00CA75AB">
            <w:pPr>
              <w:rPr>
                <w:b/>
                <w:color w:val="FFFFFF" w:themeColor="background1"/>
              </w:rPr>
            </w:pPr>
            <w:r w:rsidRPr="00CA75AB">
              <w:rPr>
                <w:b/>
                <w:color w:val="FFFFFF" w:themeColor="background1"/>
              </w:rPr>
              <w:t>Units of competency (Final Drafts)</w:t>
            </w:r>
          </w:p>
        </w:tc>
        <w:tc>
          <w:tcPr>
            <w:tcW w:w="5335" w:type="dxa"/>
            <w:shd w:val="clear" w:color="auto" w:fill="18833D" w:themeFill="accent1"/>
          </w:tcPr>
          <w:p w14:paraId="7DA8FA82" w14:textId="77777777" w:rsidR="00871D40" w:rsidRPr="00CA75AB" w:rsidRDefault="00871D40" w:rsidP="00CA75AB">
            <w:pPr>
              <w:rPr>
                <w:b/>
                <w:color w:val="FFFFFF" w:themeColor="background1"/>
              </w:rPr>
            </w:pPr>
            <w:r w:rsidRPr="00CA75AB">
              <w:rPr>
                <w:b/>
                <w:color w:val="FFFFFF" w:themeColor="background1"/>
              </w:rPr>
              <w:t>Changes from the existing version in training.gov.au</w:t>
            </w:r>
          </w:p>
        </w:tc>
      </w:tr>
      <w:tr w:rsidR="00871D40" w14:paraId="7DA8FA87" w14:textId="77777777" w:rsidTr="009266D2">
        <w:tc>
          <w:tcPr>
            <w:tcW w:w="3681" w:type="dxa"/>
          </w:tcPr>
          <w:p w14:paraId="7DA8FA84" w14:textId="77777777" w:rsidR="00871D40" w:rsidRPr="006B1DEA" w:rsidRDefault="00871D40" w:rsidP="00CA75AB">
            <w:pPr>
              <w:pStyle w:val="SIUnittitle"/>
              <w:tabs>
                <w:tab w:val="left" w:pos="2630"/>
              </w:tabs>
              <w:spacing w:before="120" w:after="120" w:line="276" w:lineRule="auto"/>
              <w:ind w:left="113"/>
              <w:rPr>
                <w:b w:val="0"/>
                <w:sz w:val="20"/>
                <w:szCs w:val="20"/>
              </w:rPr>
            </w:pPr>
            <w:r w:rsidRPr="006B1DEA">
              <w:rPr>
                <w:b w:val="0"/>
                <w:sz w:val="20"/>
                <w:szCs w:val="20"/>
              </w:rPr>
              <w:t>FWPHAR3222 Use on-board computer systems for forwarder</w:t>
            </w:r>
          </w:p>
          <w:p w14:paraId="7DA8FA85" w14:textId="77777777" w:rsidR="00871D40" w:rsidRDefault="00871D40" w:rsidP="00CA75AB">
            <w:pPr>
              <w:pStyle w:val="SIUnittitle"/>
              <w:tabs>
                <w:tab w:val="left" w:pos="2630"/>
              </w:tabs>
              <w:spacing w:before="120" w:after="120" w:line="276" w:lineRule="auto"/>
              <w:ind w:left="113"/>
            </w:pPr>
            <w:r w:rsidRPr="006B1DEA">
              <w:rPr>
                <w:b w:val="0"/>
                <w:sz w:val="20"/>
                <w:szCs w:val="20"/>
              </w:rPr>
              <w:t>FWPHAR3223 Use on-board computer systems for single grip harvester</w:t>
            </w:r>
          </w:p>
        </w:tc>
        <w:tc>
          <w:tcPr>
            <w:tcW w:w="5335" w:type="dxa"/>
          </w:tcPr>
          <w:p w14:paraId="7DA8FA86" w14:textId="77777777" w:rsidR="00871D40" w:rsidRDefault="00871D40" w:rsidP="00CA75AB">
            <w:pPr>
              <w:pStyle w:val="ListParagraph"/>
              <w:numPr>
                <w:ilvl w:val="0"/>
                <w:numId w:val="41"/>
              </w:numPr>
              <w:jc w:val="both"/>
            </w:pPr>
            <w:r>
              <w:t>New units</w:t>
            </w:r>
            <w:r w:rsidR="00036113">
              <w:t>,</w:t>
            </w:r>
            <w:r>
              <w:t xml:space="preserve"> developed </w:t>
            </w:r>
            <w:r w:rsidR="00036113">
              <w:t>to provide for the</w:t>
            </w:r>
            <w:r>
              <w:t xml:space="preserve"> efficient use of the on-board computer systems for harvesting machines to maximise product value</w:t>
            </w:r>
            <w:r w:rsidR="00033081">
              <w:t>.</w:t>
            </w:r>
            <w:r>
              <w:t xml:space="preserve"> </w:t>
            </w:r>
          </w:p>
        </w:tc>
      </w:tr>
      <w:tr w:rsidR="00871D40" w14:paraId="7DA8FA96" w14:textId="77777777" w:rsidTr="009266D2">
        <w:tc>
          <w:tcPr>
            <w:tcW w:w="3681" w:type="dxa"/>
          </w:tcPr>
          <w:p w14:paraId="7DA8FA88" w14:textId="77777777" w:rsidR="00871D40" w:rsidRPr="006B1DEA" w:rsidRDefault="00871D40" w:rsidP="00CA75AB">
            <w:pPr>
              <w:pStyle w:val="SIUnittitle"/>
              <w:tabs>
                <w:tab w:val="left" w:pos="2630"/>
              </w:tabs>
              <w:spacing w:before="120" w:after="120" w:line="276" w:lineRule="auto"/>
              <w:ind w:left="113"/>
              <w:rPr>
                <w:b w:val="0"/>
                <w:sz w:val="20"/>
                <w:szCs w:val="20"/>
              </w:rPr>
            </w:pPr>
            <w:r w:rsidRPr="006B1DEA">
              <w:rPr>
                <w:b w:val="0"/>
                <w:sz w:val="20"/>
                <w:szCs w:val="20"/>
              </w:rPr>
              <w:t>FWPHAR3226</w:t>
            </w:r>
            <w:r w:rsidRPr="006B1DEA">
              <w:rPr>
                <w:b w:val="0"/>
                <w:caps/>
                <w:sz w:val="20"/>
                <w:szCs w:val="20"/>
              </w:rPr>
              <w:t xml:space="preserve"> </w:t>
            </w:r>
            <w:r w:rsidRPr="006B1DEA">
              <w:rPr>
                <w:b w:val="0"/>
                <w:sz w:val="20"/>
                <w:szCs w:val="20"/>
              </w:rPr>
              <w:t xml:space="preserve">Operate feller </w:t>
            </w:r>
            <w:proofErr w:type="spellStart"/>
            <w:r w:rsidRPr="006B1DEA">
              <w:rPr>
                <w:b w:val="0"/>
                <w:sz w:val="20"/>
                <w:szCs w:val="20"/>
              </w:rPr>
              <w:t>buncher</w:t>
            </w:r>
            <w:proofErr w:type="spellEnd"/>
            <w:r w:rsidRPr="006B1DEA">
              <w:rPr>
                <w:b w:val="0"/>
                <w:sz w:val="20"/>
                <w:szCs w:val="20"/>
              </w:rPr>
              <w:t xml:space="preserve"> </w:t>
            </w:r>
          </w:p>
          <w:p w14:paraId="7DA8FA89" w14:textId="77777777" w:rsidR="00871D40" w:rsidRPr="006B1DEA" w:rsidRDefault="00871D40" w:rsidP="00CA75AB">
            <w:pPr>
              <w:pStyle w:val="SIUnittitle"/>
              <w:tabs>
                <w:tab w:val="left" w:pos="2630"/>
              </w:tabs>
              <w:spacing w:before="120" w:after="120" w:line="276" w:lineRule="auto"/>
              <w:ind w:left="113"/>
              <w:rPr>
                <w:b w:val="0"/>
                <w:sz w:val="20"/>
                <w:szCs w:val="20"/>
              </w:rPr>
            </w:pPr>
            <w:r w:rsidRPr="006B1DEA">
              <w:rPr>
                <w:b w:val="0"/>
                <w:sz w:val="20"/>
                <w:szCs w:val="20"/>
              </w:rPr>
              <w:t>FWPPHAR3229</w:t>
            </w:r>
            <w:r w:rsidRPr="006B1DEA">
              <w:rPr>
                <w:b w:val="0"/>
                <w:caps/>
                <w:sz w:val="20"/>
                <w:szCs w:val="20"/>
              </w:rPr>
              <w:t xml:space="preserve"> </w:t>
            </w:r>
            <w:r w:rsidRPr="006B1DEA">
              <w:rPr>
                <w:b w:val="0"/>
                <w:sz w:val="20"/>
                <w:szCs w:val="20"/>
              </w:rPr>
              <w:t xml:space="preserve">Operate single grip harvester </w:t>
            </w:r>
          </w:p>
          <w:p w14:paraId="7DA8FA8A" w14:textId="77777777" w:rsidR="00871D40" w:rsidRPr="006B1DEA" w:rsidRDefault="00871D40" w:rsidP="00CA75AB">
            <w:pPr>
              <w:pStyle w:val="SIUnittitle"/>
              <w:tabs>
                <w:tab w:val="left" w:pos="2630"/>
              </w:tabs>
              <w:spacing w:before="120" w:after="120" w:line="276" w:lineRule="auto"/>
              <w:ind w:left="113"/>
              <w:rPr>
                <w:b w:val="0"/>
                <w:sz w:val="20"/>
                <w:szCs w:val="20"/>
              </w:rPr>
            </w:pPr>
            <w:r w:rsidRPr="006B1DEA">
              <w:rPr>
                <w:b w:val="0"/>
                <w:sz w:val="20"/>
                <w:szCs w:val="20"/>
              </w:rPr>
              <w:t>FWPHAR3227</w:t>
            </w:r>
            <w:r w:rsidRPr="006B1DEA">
              <w:rPr>
                <w:b w:val="0"/>
                <w:caps/>
                <w:sz w:val="20"/>
                <w:szCs w:val="20"/>
              </w:rPr>
              <w:t xml:space="preserve"> </w:t>
            </w:r>
            <w:r w:rsidRPr="006B1DEA">
              <w:rPr>
                <w:b w:val="0"/>
                <w:sz w:val="20"/>
                <w:szCs w:val="20"/>
              </w:rPr>
              <w:t xml:space="preserve">Operate forwarder </w:t>
            </w:r>
          </w:p>
          <w:p w14:paraId="7DA8FA8B" w14:textId="77777777" w:rsidR="00871D40" w:rsidRPr="006B1DEA" w:rsidRDefault="00871D40" w:rsidP="00CA75AB">
            <w:pPr>
              <w:pStyle w:val="SIUnittitle"/>
              <w:tabs>
                <w:tab w:val="left" w:pos="2630"/>
              </w:tabs>
              <w:spacing w:before="120" w:after="120" w:line="276" w:lineRule="auto"/>
              <w:ind w:left="113"/>
              <w:rPr>
                <w:b w:val="0"/>
                <w:sz w:val="20"/>
                <w:szCs w:val="20"/>
              </w:rPr>
            </w:pPr>
            <w:r w:rsidRPr="006B1DEA">
              <w:rPr>
                <w:b w:val="0"/>
                <w:sz w:val="20"/>
                <w:szCs w:val="20"/>
              </w:rPr>
              <w:t>FWPHAR3228</w:t>
            </w:r>
            <w:r w:rsidRPr="006B1DEA">
              <w:rPr>
                <w:b w:val="0"/>
                <w:caps/>
                <w:sz w:val="20"/>
                <w:szCs w:val="20"/>
              </w:rPr>
              <w:t xml:space="preserve"> </w:t>
            </w:r>
            <w:r w:rsidRPr="006B1DEA">
              <w:rPr>
                <w:b w:val="0"/>
                <w:sz w:val="20"/>
                <w:szCs w:val="20"/>
              </w:rPr>
              <w:t xml:space="preserve">Operate loader </w:t>
            </w:r>
          </w:p>
          <w:p w14:paraId="7DA8FA8C" w14:textId="77777777" w:rsidR="00871D40" w:rsidRPr="006B1DEA" w:rsidRDefault="00871D40" w:rsidP="00CA75AB">
            <w:pPr>
              <w:pStyle w:val="SIUnittitle"/>
              <w:tabs>
                <w:tab w:val="left" w:pos="2630"/>
              </w:tabs>
              <w:spacing w:before="120" w:after="120" w:line="276" w:lineRule="auto"/>
              <w:ind w:left="113"/>
              <w:rPr>
                <w:b w:val="0"/>
                <w:sz w:val="20"/>
                <w:szCs w:val="20"/>
              </w:rPr>
            </w:pPr>
            <w:r w:rsidRPr="006B1DEA">
              <w:rPr>
                <w:b w:val="0"/>
                <w:sz w:val="20"/>
                <w:szCs w:val="20"/>
              </w:rPr>
              <w:t>FWPHAR3224</w:t>
            </w:r>
            <w:r w:rsidRPr="006B1DEA">
              <w:rPr>
                <w:b w:val="0"/>
                <w:caps/>
                <w:sz w:val="20"/>
                <w:szCs w:val="20"/>
              </w:rPr>
              <w:t xml:space="preserve"> </w:t>
            </w:r>
            <w:r w:rsidRPr="006B1DEA">
              <w:rPr>
                <w:b w:val="0"/>
                <w:sz w:val="20"/>
                <w:szCs w:val="20"/>
              </w:rPr>
              <w:t xml:space="preserve">Operate crawler tractor </w:t>
            </w:r>
          </w:p>
          <w:p w14:paraId="7DA8FA8D" w14:textId="77777777" w:rsidR="00871D40" w:rsidRPr="006B1DEA" w:rsidRDefault="00871D40" w:rsidP="00CA75AB">
            <w:pPr>
              <w:pStyle w:val="SIUnittitle"/>
              <w:tabs>
                <w:tab w:val="left" w:pos="2630"/>
              </w:tabs>
              <w:spacing w:before="120" w:after="120" w:line="276" w:lineRule="auto"/>
              <w:ind w:left="113"/>
              <w:rPr>
                <w:b w:val="0"/>
                <w:sz w:val="20"/>
                <w:szCs w:val="20"/>
              </w:rPr>
            </w:pPr>
            <w:r w:rsidRPr="006B1DEA">
              <w:rPr>
                <w:b w:val="0"/>
                <w:sz w:val="20"/>
                <w:szCs w:val="20"/>
              </w:rPr>
              <w:t>FWPHAR3225</w:t>
            </w:r>
            <w:r w:rsidRPr="006B1DEA">
              <w:rPr>
                <w:b w:val="0"/>
                <w:caps/>
                <w:sz w:val="20"/>
                <w:szCs w:val="20"/>
              </w:rPr>
              <w:t xml:space="preserve"> </w:t>
            </w:r>
            <w:r w:rsidRPr="006B1DEA">
              <w:rPr>
                <w:b w:val="0"/>
                <w:sz w:val="20"/>
                <w:szCs w:val="20"/>
              </w:rPr>
              <w:t xml:space="preserve">Operate excavator with log grapple </w:t>
            </w:r>
          </w:p>
          <w:p w14:paraId="7DA8FA8E" w14:textId="77777777" w:rsidR="00871D40" w:rsidRPr="006B1DEA" w:rsidRDefault="00871D40" w:rsidP="00CA75AB">
            <w:pPr>
              <w:pStyle w:val="SIUnittitle"/>
              <w:tabs>
                <w:tab w:val="left" w:pos="2630"/>
              </w:tabs>
              <w:spacing w:before="120" w:after="120" w:line="276" w:lineRule="auto"/>
              <w:ind w:left="113"/>
              <w:rPr>
                <w:b w:val="0"/>
                <w:sz w:val="20"/>
                <w:szCs w:val="20"/>
              </w:rPr>
            </w:pPr>
            <w:r w:rsidRPr="006B1DEA">
              <w:rPr>
                <w:b w:val="0"/>
                <w:sz w:val="20"/>
                <w:szCs w:val="20"/>
              </w:rPr>
              <w:t>FWPHAR3230</w:t>
            </w:r>
            <w:r w:rsidRPr="006B1DEA">
              <w:rPr>
                <w:b w:val="0"/>
                <w:caps/>
                <w:sz w:val="20"/>
                <w:szCs w:val="20"/>
              </w:rPr>
              <w:t xml:space="preserve"> </w:t>
            </w:r>
            <w:r w:rsidRPr="006B1DEA">
              <w:rPr>
                <w:b w:val="0"/>
                <w:sz w:val="20"/>
                <w:szCs w:val="20"/>
              </w:rPr>
              <w:t>Operate skidder</w:t>
            </w:r>
          </w:p>
          <w:p w14:paraId="7DA8FA8F" w14:textId="77777777" w:rsidR="00871D40" w:rsidRPr="006B1DEA" w:rsidRDefault="00871D40" w:rsidP="00CA75AB">
            <w:pPr>
              <w:pStyle w:val="SIUnittitle"/>
              <w:tabs>
                <w:tab w:val="left" w:pos="2630"/>
              </w:tabs>
              <w:spacing w:before="120" w:after="120" w:line="276" w:lineRule="auto"/>
              <w:ind w:left="113"/>
              <w:rPr>
                <w:b w:val="0"/>
                <w:sz w:val="20"/>
                <w:szCs w:val="20"/>
              </w:rPr>
            </w:pPr>
            <w:r w:rsidRPr="006B1DEA">
              <w:rPr>
                <w:b w:val="0"/>
                <w:sz w:val="20"/>
                <w:szCs w:val="20"/>
              </w:rPr>
              <w:t>FWPHAR3231</w:t>
            </w:r>
            <w:r w:rsidRPr="006B1DEA">
              <w:rPr>
                <w:b w:val="0"/>
                <w:caps/>
                <w:sz w:val="20"/>
                <w:szCs w:val="20"/>
              </w:rPr>
              <w:t xml:space="preserve"> </w:t>
            </w:r>
            <w:r w:rsidRPr="006B1DEA">
              <w:rPr>
                <w:b w:val="0"/>
                <w:sz w:val="20"/>
                <w:szCs w:val="20"/>
              </w:rPr>
              <w:t xml:space="preserve">Operate yarder </w:t>
            </w:r>
          </w:p>
          <w:p w14:paraId="7DA8FA90" w14:textId="77777777" w:rsidR="00871D40" w:rsidRDefault="00871D40" w:rsidP="00CA75AB"/>
        </w:tc>
        <w:tc>
          <w:tcPr>
            <w:tcW w:w="5335" w:type="dxa"/>
          </w:tcPr>
          <w:p w14:paraId="7DA8FA91" w14:textId="77777777" w:rsidR="00871D40" w:rsidRPr="006B1DEA" w:rsidRDefault="00871D40" w:rsidP="00CA75AB">
            <w:pPr>
              <w:pStyle w:val="ListParagraph"/>
              <w:numPr>
                <w:ilvl w:val="0"/>
                <w:numId w:val="41"/>
              </w:numPr>
              <w:jc w:val="both"/>
            </w:pPr>
            <w:r w:rsidRPr="006B1DEA">
              <w:t xml:space="preserve">Existing </w:t>
            </w:r>
            <w:r w:rsidR="00033081">
              <w:t>Performance Criteria (</w:t>
            </w:r>
            <w:r w:rsidR="00B304D3" w:rsidRPr="006B1DEA">
              <w:t>P</w:t>
            </w:r>
            <w:r w:rsidR="00B304D3">
              <w:t>Cs</w:t>
            </w:r>
            <w:r w:rsidR="00033081">
              <w:t>)</w:t>
            </w:r>
            <w:r w:rsidR="00B304D3" w:rsidRPr="006B1DEA">
              <w:t xml:space="preserve"> </w:t>
            </w:r>
            <w:r w:rsidRPr="006B1DEA">
              <w:t xml:space="preserve">were re-written to reflect current requirements for a safe and appropriate operation of the machine. </w:t>
            </w:r>
            <w:r w:rsidR="00033081">
              <w:t>T</w:t>
            </w:r>
            <w:r w:rsidR="00B304D3">
              <w:t xml:space="preserve">he </w:t>
            </w:r>
            <w:r w:rsidR="00B304D3" w:rsidRPr="006B1DEA">
              <w:t>P</w:t>
            </w:r>
            <w:r w:rsidR="00B304D3">
              <w:t>Cs</w:t>
            </w:r>
            <w:r w:rsidR="00B304D3" w:rsidRPr="006B1DEA">
              <w:t xml:space="preserve"> </w:t>
            </w:r>
            <w:r w:rsidRPr="006B1DEA">
              <w:t>were</w:t>
            </w:r>
            <w:r w:rsidR="00033081">
              <w:t xml:space="preserve"> also</w:t>
            </w:r>
            <w:r w:rsidRPr="006B1DEA">
              <w:t xml:space="preserve"> written to provide depth in regards to </w:t>
            </w:r>
            <w:r w:rsidR="00036113">
              <w:t xml:space="preserve">expected </w:t>
            </w:r>
            <w:r w:rsidRPr="006B1DEA">
              <w:t>outcomes from the task</w:t>
            </w:r>
            <w:r w:rsidR="00036113">
              <w:t>s</w:t>
            </w:r>
            <w:r w:rsidRPr="006B1DEA">
              <w:t xml:space="preserve"> and instruments </w:t>
            </w:r>
            <w:r w:rsidR="00036113">
              <w:t>needed</w:t>
            </w:r>
            <w:r w:rsidRPr="006B1DEA">
              <w:t xml:space="preserve"> to perform the task</w:t>
            </w:r>
            <w:r w:rsidR="00036113">
              <w:t>s</w:t>
            </w:r>
            <w:r w:rsidRPr="006B1DEA">
              <w:t xml:space="preserve"> (i.e. production plan, standard operating procedures, site operational plan, legislative requirements)</w:t>
            </w:r>
            <w:r w:rsidR="00033081">
              <w:t>;</w:t>
            </w:r>
          </w:p>
          <w:p w14:paraId="7DA8FA92" w14:textId="77777777" w:rsidR="00871D40" w:rsidRPr="006B1DEA" w:rsidRDefault="00871D40" w:rsidP="00CA75AB">
            <w:pPr>
              <w:pStyle w:val="ListParagraph"/>
              <w:numPr>
                <w:ilvl w:val="0"/>
                <w:numId w:val="41"/>
              </w:numPr>
              <w:jc w:val="both"/>
            </w:pPr>
            <w:r w:rsidRPr="006B1DEA">
              <w:t xml:space="preserve">New </w:t>
            </w:r>
            <w:r w:rsidR="00B304D3" w:rsidRPr="006B1DEA">
              <w:t>P</w:t>
            </w:r>
            <w:r w:rsidR="00B304D3">
              <w:t>Cs</w:t>
            </w:r>
            <w:r w:rsidR="00B304D3" w:rsidRPr="006B1DEA">
              <w:t xml:space="preserve"> </w:t>
            </w:r>
            <w:r w:rsidRPr="006B1DEA">
              <w:t xml:space="preserve">were added to include optimisation requirements - practices for improving the production cycle efficiency and product quality processes. These requirements include </w:t>
            </w:r>
            <w:r w:rsidR="00036113" w:rsidRPr="006B1DEA">
              <w:t>minimal damage to log products</w:t>
            </w:r>
            <w:r w:rsidR="00036113">
              <w:t>,</w:t>
            </w:r>
            <w:r w:rsidR="00036113" w:rsidRPr="006B1DEA">
              <w:t xml:space="preserve"> </w:t>
            </w:r>
            <w:r w:rsidRPr="006B1DEA">
              <w:t>correct product segregation</w:t>
            </w:r>
            <w:r w:rsidR="00036113">
              <w:t xml:space="preserve"> and staking</w:t>
            </w:r>
            <w:r w:rsidRPr="006B1DEA">
              <w:t>, identification, and presentation to the roadside or landing area</w:t>
            </w:r>
            <w:r w:rsidR="00033081">
              <w:t>;</w:t>
            </w:r>
          </w:p>
          <w:p w14:paraId="7DA8FA93" w14:textId="77777777" w:rsidR="00871D40" w:rsidRPr="006B1DEA" w:rsidRDefault="00036113" w:rsidP="00CA75AB">
            <w:pPr>
              <w:pStyle w:val="ListParagraph"/>
              <w:numPr>
                <w:ilvl w:val="0"/>
                <w:numId w:val="41"/>
              </w:numPr>
            </w:pPr>
            <w:r>
              <w:t xml:space="preserve">The content of </w:t>
            </w:r>
            <w:r w:rsidR="00033081">
              <w:t>Performance Evidence (</w:t>
            </w:r>
            <w:r w:rsidR="00B304D3">
              <w:t>PE</w:t>
            </w:r>
            <w:r w:rsidR="00033081">
              <w:t>)</w:t>
            </w:r>
            <w:r w:rsidR="00871D40" w:rsidRPr="006B1DEA">
              <w:t xml:space="preserve"> and </w:t>
            </w:r>
            <w:r w:rsidR="00033081">
              <w:t>Knowledge Evidence (</w:t>
            </w:r>
            <w:r w:rsidR="00B304D3">
              <w:t>KE</w:t>
            </w:r>
            <w:r w:rsidR="00033081">
              <w:t>)</w:t>
            </w:r>
            <w:r w:rsidR="00871D40">
              <w:t xml:space="preserve"> </w:t>
            </w:r>
            <w:r w:rsidR="00871D40" w:rsidRPr="006B1DEA">
              <w:t>increased</w:t>
            </w:r>
            <w:r w:rsidR="004872D6">
              <w:t xml:space="preserve">, to </w:t>
            </w:r>
            <w:r w:rsidR="00871D40" w:rsidRPr="006B1DEA">
              <w:t xml:space="preserve">map against </w:t>
            </w:r>
            <w:r w:rsidR="00B304D3">
              <w:t>the revised</w:t>
            </w:r>
            <w:r w:rsidR="00A0482F">
              <w:t xml:space="preserve"> </w:t>
            </w:r>
            <w:r w:rsidR="00B304D3" w:rsidRPr="006B1DEA">
              <w:t>P</w:t>
            </w:r>
            <w:r w:rsidR="00B304D3">
              <w:t>C</w:t>
            </w:r>
            <w:r w:rsidR="00B304D3" w:rsidRPr="006B1DEA">
              <w:t>s</w:t>
            </w:r>
            <w:r w:rsidR="00033081">
              <w:t>;</w:t>
            </w:r>
          </w:p>
          <w:p w14:paraId="7DA8FA94" w14:textId="77777777" w:rsidR="00871D40" w:rsidRPr="006B1DEA" w:rsidRDefault="00871D40" w:rsidP="00CA75AB">
            <w:pPr>
              <w:pStyle w:val="ListParagraph"/>
              <w:numPr>
                <w:ilvl w:val="0"/>
                <w:numId w:val="41"/>
              </w:numPr>
            </w:pPr>
            <w:r w:rsidRPr="006B1DEA">
              <w:t xml:space="preserve">The units </w:t>
            </w:r>
            <w:r w:rsidR="006826C3" w:rsidRPr="006B1DEA">
              <w:t>received new</w:t>
            </w:r>
            <w:r w:rsidRPr="006B1DEA">
              <w:t xml:space="preserve"> code</w:t>
            </w:r>
            <w:r w:rsidR="00943EFD">
              <w:t>s</w:t>
            </w:r>
            <w:r w:rsidRPr="006B1DEA">
              <w:t xml:space="preserve"> as they </w:t>
            </w:r>
            <w:r w:rsidR="00943EFD">
              <w:t xml:space="preserve">are now no longer </w:t>
            </w:r>
            <w:r w:rsidRPr="006B1DEA">
              <w:t>equivalent</w:t>
            </w:r>
            <w:r w:rsidR="00033081">
              <w:t>;</w:t>
            </w:r>
          </w:p>
          <w:p w14:paraId="7DA8FA95" w14:textId="7A4F855D" w:rsidR="00871D40" w:rsidRPr="006B1DEA" w:rsidRDefault="00871D40" w:rsidP="00CA75AB">
            <w:pPr>
              <w:pStyle w:val="ListParagraph"/>
              <w:numPr>
                <w:ilvl w:val="0"/>
                <w:numId w:val="41"/>
              </w:numPr>
            </w:pPr>
            <w:r w:rsidRPr="006B1DEA">
              <w:t>The title for</w:t>
            </w:r>
            <w:r w:rsidR="00033081">
              <w:t xml:space="preserve"> most of these units was changed</w:t>
            </w:r>
            <w:r w:rsidRPr="006B1DEA">
              <w:t xml:space="preserve"> to </w:t>
            </w:r>
            <w:r w:rsidR="00943EFD">
              <w:t xml:space="preserve">improve </w:t>
            </w:r>
            <w:r w:rsidRPr="006B1DEA">
              <w:t>consistency</w:t>
            </w:r>
            <w:r w:rsidR="00033081">
              <w:t>.</w:t>
            </w:r>
            <w:r w:rsidRPr="006B1DEA">
              <w:t xml:space="preserve"> </w:t>
            </w:r>
          </w:p>
        </w:tc>
        <w:bookmarkStart w:id="0" w:name="_GoBack"/>
        <w:bookmarkEnd w:id="0"/>
      </w:tr>
      <w:tr w:rsidR="00871D40" w14:paraId="7DA8FA9B" w14:textId="77777777" w:rsidTr="009266D2">
        <w:tc>
          <w:tcPr>
            <w:tcW w:w="3681" w:type="dxa"/>
          </w:tcPr>
          <w:p w14:paraId="7DA8FA97" w14:textId="77777777" w:rsidR="00871D40" w:rsidRPr="00871D40" w:rsidRDefault="00871D40" w:rsidP="00CA75AB">
            <w:pPr>
              <w:pStyle w:val="SIUnittitle"/>
              <w:tabs>
                <w:tab w:val="left" w:pos="2630"/>
              </w:tabs>
              <w:spacing w:before="120" w:after="120" w:line="276" w:lineRule="auto"/>
              <w:ind w:left="113"/>
              <w:rPr>
                <w:b w:val="0"/>
                <w:sz w:val="20"/>
                <w:szCs w:val="20"/>
              </w:rPr>
            </w:pPr>
            <w:r w:rsidRPr="00871D40">
              <w:rPr>
                <w:b w:val="0"/>
                <w:sz w:val="20"/>
                <w:szCs w:val="20"/>
              </w:rPr>
              <w:t>FWPCOT2223 Segregate and sort logs</w:t>
            </w:r>
          </w:p>
          <w:p w14:paraId="7DA8FA98" w14:textId="77777777" w:rsidR="00871D40" w:rsidRDefault="00871D40" w:rsidP="00CA75AB">
            <w:pPr>
              <w:pStyle w:val="SIUnittitle"/>
              <w:tabs>
                <w:tab w:val="left" w:pos="2630"/>
              </w:tabs>
              <w:spacing w:before="120" w:after="120" w:line="276" w:lineRule="auto"/>
              <w:ind w:left="113"/>
            </w:pPr>
            <w:r w:rsidRPr="00871D40">
              <w:rPr>
                <w:b w:val="0"/>
                <w:sz w:val="20"/>
                <w:szCs w:val="20"/>
              </w:rPr>
              <w:t>FWPCOT3223 Grade and mark logs</w:t>
            </w:r>
          </w:p>
        </w:tc>
        <w:tc>
          <w:tcPr>
            <w:tcW w:w="5335" w:type="dxa"/>
          </w:tcPr>
          <w:p w14:paraId="7DA8FA99" w14:textId="77777777" w:rsidR="00871D40" w:rsidRDefault="00943EFD" w:rsidP="00CA75AB">
            <w:pPr>
              <w:pStyle w:val="ListParagraph"/>
              <w:numPr>
                <w:ilvl w:val="0"/>
                <w:numId w:val="41"/>
              </w:numPr>
              <w:jc w:val="both"/>
            </w:pPr>
            <w:r>
              <w:t>Some of the</w:t>
            </w:r>
            <w:r w:rsidR="00036113">
              <w:t xml:space="preserve"> e</w:t>
            </w:r>
            <w:r w:rsidR="00871D40" w:rsidRPr="006B1DEA">
              <w:t xml:space="preserve">xisting </w:t>
            </w:r>
            <w:r w:rsidR="00B304D3" w:rsidRPr="006B1DEA">
              <w:t>P</w:t>
            </w:r>
            <w:r w:rsidR="00B304D3">
              <w:t>Cs</w:t>
            </w:r>
            <w:r w:rsidR="00B304D3" w:rsidRPr="006B1DEA">
              <w:t xml:space="preserve"> </w:t>
            </w:r>
            <w:r w:rsidR="00871D40" w:rsidRPr="006B1DEA">
              <w:t>were re-written</w:t>
            </w:r>
            <w:r w:rsidR="00036113">
              <w:t xml:space="preserve"> and </w:t>
            </w:r>
            <w:r>
              <w:t xml:space="preserve">some </w:t>
            </w:r>
            <w:r w:rsidR="00036113">
              <w:t xml:space="preserve">new </w:t>
            </w:r>
            <w:r w:rsidR="004872D6">
              <w:t xml:space="preserve">PCs were added </w:t>
            </w:r>
            <w:r w:rsidR="00871D40" w:rsidRPr="006B1DEA">
              <w:t xml:space="preserve"> to reflect current requirements for a safe and appropriate operation</w:t>
            </w:r>
            <w:r w:rsidR="00033081">
              <w:t>;</w:t>
            </w:r>
            <w:r w:rsidR="00871D40" w:rsidRPr="006B1DEA">
              <w:t xml:space="preserve"> </w:t>
            </w:r>
          </w:p>
          <w:p w14:paraId="7DA8FA9A" w14:textId="77777777" w:rsidR="00871D40" w:rsidRDefault="004872D6" w:rsidP="00CA75AB">
            <w:pPr>
              <w:pStyle w:val="ListParagraph"/>
              <w:numPr>
                <w:ilvl w:val="0"/>
                <w:numId w:val="41"/>
              </w:numPr>
            </w:pPr>
            <w:r>
              <w:t xml:space="preserve">The content of </w:t>
            </w:r>
            <w:r w:rsidR="00B304D3">
              <w:t>PE</w:t>
            </w:r>
            <w:r w:rsidR="00871D40" w:rsidRPr="006B1DEA">
              <w:t xml:space="preserve"> and </w:t>
            </w:r>
            <w:r w:rsidR="00B304D3">
              <w:t>KE</w:t>
            </w:r>
            <w:r w:rsidR="00871D40" w:rsidRPr="006B1DEA">
              <w:t xml:space="preserve"> increased, to map against </w:t>
            </w:r>
            <w:r w:rsidR="00943EFD">
              <w:t xml:space="preserve">the revised </w:t>
            </w:r>
            <w:r w:rsidR="00871D40" w:rsidRPr="006B1DEA">
              <w:t>P</w:t>
            </w:r>
            <w:r w:rsidR="0005364A">
              <w:t>C</w:t>
            </w:r>
            <w:r w:rsidR="00871D40" w:rsidRPr="006B1DEA">
              <w:t>s</w:t>
            </w:r>
            <w:r w:rsidR="00033081">
              <w:t>.</w:t>
            </w:r>
          </w:p>
        </w:tc>
      </w:tr>
      <w:tr w:rsidR="00871D40" w14:paraId="7DA8FA9E" w14:textId="77777777" w:rsidTr="009266D2">
        <w:tc>
          <w:tcPr>
            <w:tcW w:w="3681" w:type="dxa"/>
          </w:tcPr>
          <w:p w14:paraId="7DA8FA9C" w14:textId="77777777" w:rsidR="00871D40" w:rsidRDefault="00871D40" w:rsidP="00CA75AB">
            <w:pPr>
              <w:pStyle w:val="SIUnittitle"/>
              <w:tabs>
                <w:tab w:val="left" w:pos="2630"/>
              </w:tabs>
              <w:spacing w:before="120" w:after="120" w:line="276" w:lineRule="auto"/>
              <w:ind w:left="113"/>
            </w:pPr>
            <w:r w:rsidRPr="006B1DEA">
              <w:rPr>
                <w:b w:val="0"/>
                <w:sz w:val="20"/>
                <w:szCs w:val="20"/>
              </w:rPr>
              <w:t xml:space="preserve">FWPHAR3210 Conduct mechanical processor operations </w:t>
            </w:r>
          </w:p>
        </w:tc>
        <w:tc>
          <w:tcPr>
            <w:tcW w:w="5335" w:type="dxa"/>
          </w:tcPr>
          <w:p w14:paraId="7DA8FA9D" w14:textId="77777777" w:rsidR="00871D40" w:rsidRDefault="00871D40" w:rsidP="00CA75AB">
            <w:pPr>
              <w:pStyle w:val="ListParagraph"/>
              <w:numPr>
                <w:ilvl w:val="0"/>
                <w:numId w:val="41"/>
              </w:numPr>
              <w:jc w:val="both"/>
            </w:pPr>
            <w:r>
              <w:t xml:space="preserve">No changes were applied to this unit. With the update of all machine operator units, this unit </w:t>
            </w:r>
            <w:r w:rsidR="00943EFD">
              <w:t>will receive less use</w:t>
            </w:r>
            <w:r>
              <w:t xml:space="preserve">. However, the unit </w:t>
            </w:r>
            <w:r w:rsidR="00943EFD">
              <w:t xml:space="preserve">is still applicable in </w:t>
            </w:r>
            <w:r>
              <w:t>some pulp</w:t>
            </w:r>
            <w:r w:rsidR="00943EFD">
              <w:t xml:space="preserve"> </w:t>
            </w:r>
            <w:r>
              <w:t xml:space="preserve">log </w:t>
            </w:r>
            <w:r w:rsidR="00943EFD">
              <w:t>harvesting operations</w:t>
            </w:r>
            <w:r w:rsidR="00033081">
              <w:t>,</w:t>
            </w:r>
            <w:r w:rsidR="00943EFD">
              <w:t xml:space="preserve"> </w:t>
            </w:r>
            <w:r>
              <w:t xml:space="preserve">for operating wood chipping machines. </w:t>
            </w:r>
          </w:p>
        </w:tc>
      </w:tr>
      <w:tr w:rsidR="00871D40" w14:paraId="7DA8FAA2" w14:textId="77777777" w:rsidTr="009266D2">
        <w:tc>
          <w:tcPr>
            <w:tcW w:w="3681" w:type="dxa"/>
          </w:tcPr>
          <w:p w14:paraId="7DA8FA9F" w14:textId="77777777" w:rsidR="00871D40" w:rsidRPr="00871D40" w:rsidRDefault="00871D40" w:rsidP="00CA75AB">
            <w:pPr>
              <w:pStyle w:val="SIUnittitle"/>
              <w:tabs>
                <w:tab w:val="left" w:pos="2630"/>
              </w:tabs>
              <w:spacing w:before="120" w:after="120" w:line="276" w:lineRule="auto"/>
              <w:ind w:left="113"/>
              <w:rPr>
                <w:b w:val="0"/>
                <w:sz w:val="20"/>
                <w:szCs w:val="20"/>
              </w:rPr>
            </w:pPr>
            <w:r w:rsidRPr="00871D40">
              <w:rPr>
                <w:b w:val="0"/>
                <w:sz w:val="20"/>
                <w:szCs w:val="20"/>
              </w:rPr>
              <w:t xml:space="preserve">FWPCOT2226 Debark logs mechanically </w:t>
            </w:r>
          </w:p>
          <w:p w14:paraId="7DA8FAA0" w14:textId="77777777" w:rsidR="00871D40" w:rsidRDefault="00871D40" w:rsidP="00CA75AB"/>
        </w:tc>
        <w:tc>
          <w:tcPr>
            <w:tcW w:w="5335" w:type="dxa"/>
          </w:tcPr>
          <w:p w14:paraId="7DA8FAA1" w14:textId="77777777" w:rsidR="00871D40" w:rsidRDefault="00871D40" w:rsidP="00CA75AB">
            <w:pPr>
              <w:pStyle w:val="ListParagraph"/>
              <w:numPr>
                <w:ilvl w:val="0"/>
                <w:numId w:val="41"/>
              </w:numPr>
              <w:jc w:val="both"/>
            </w:pPr>
            <w:r>
              <w:t>No changes were applied to this unit. This unit is for use at mills or wood processing facilities and not for in-forest debarking operations.</w:t>
            </w:r>
          </w:p>
        </w:tc>
      </w:tr>
      <w:tr w:rsidR="004872D6" w14:paraId="7DA8FAA5" w14:textId="77777777" w:rsidTr="009266D2">
        <w:tc>
          <w:tcPr>
            <w:tcW w:w="3681" w:type="dxa"/>
          </w:tcPr>
          <w:p w14:paraId="7DA8FAA3" w14:textId="77777777" w:rsidR="004872D6" w:rsidRPr="00871D40" w:rsidRDefault="004872D6" w:rsidP="00CA75AB">
            <w:pPr>
              <w:pStyle w:val="SIUnittitle"/>
              <w:tabs>
                <w:tab w:val="left" w:pos="2630"/>
              </w:tabs>
              <w:spacing w:before="120" w:after="120" w:line="276" w:lineRule="auto"/>
              <w:ind w:left="113"/>
              <w:rPr>
                <w:b w:val="0"/>
                <w:sz w:val="20"/>
                <w:szCs w:val="20"/>
              </w:rPr>
            </w:pPr>
            <w:r w:rsidRPr="00871D40">
              <w:rPr>
                <w:b w:val="0"/>
                <w:sz w:val="20"/>
                <w:szCs w:val="20"/>
              </w:rPr>
              <w:t>FWP</w:t>
            </w:r>
            <w:r>
              <w:rPr>
                <w:b w:val="0"/>
                <w:sz w:val="20"/>
                <w:szCs w:val="20"/>
              </w:rPr>
              <w:t>HAR3208</w:t>
            </w:r>
            <w:r w:rsidRPr="00871D40">
              <w:rPr>
                <w:b w:val="0"/>
                <w:sz w:val="20"/>
                <w:szCs w:val="20"/>
              </w:rPr>
              <w:t xml:space="preserve"> </w:t>
            </w:r>
            <w:r>
              <w:rPr>
                <w:b w:val="0"/>
                <w:sz w:val="20"/>
                <w:szCs w:val="20"/>
              </w:rPr>
              <w:t xml:space="preserve">Conduct boom </w:t>
            </w:r>
            <w:proofErr w:type="spellStart"/>
            <w:r>
              <w:rPr>
                <w:b w:val="0"/>
                <w:sz w:val="20"/>
                <w:szCs w:val="20"/>
              </w:rPr>
              <w:t>delimber</w:t>
            </w:r>
            <w:proofErr w:type="spellEnd"/>
            <w:r>
              <w:rPr>
                <w:b w:val="0"/>
                <w:sz w:val="20"/>
                <w:szCs w:val="20"/>
              </w:rPr>
              <w:t xml:space="preserve"> operations</w:t>
            </w:r>
          </w:p>
        </w:tc>
        <w:tc>
          <w:tcPr>
            <w:tcW w:w="5335" w:type="dxa"/>
          </w:tcPr>
          <w:p w14:paraId="7DA8FAA4" w14:textId="77777777" w:rsidR="004872D6" w:rsidRDefault="004872D6" w:rsidP="00CA75AB">
            <w:pPr>
              <w:pStyle w:val="ListParagraph"/>
              <w:numPr>
                <w:ilvl w:val="0"/>
                <w:numId w:val="41"/>
              </w:numPr>
              <w:jc w:val="both"/>
            </w:pPr>
            <w:r>
              <w:t>Th</w:t>
            </w:r>
            <w:r w:rsidR="00033081">
              <w:t>is</w:t>
            </w:r>
            <w:r>
              <w:t xml:space="preserve"> unit was proposed for deletion as the technology is no longer used in Australia.</w:t>
            </w:r>
          </w:p>
        </w:tc>
      </w:tr>
    </w:tbl>
    <w:p w14:paraId="7DA8FAA6" w14:textId="77777777" w:rsidR="00FE4E5E" w:rsidRDefault="00FE4E5E" w:rsidP="004872D6"/>
    <w:sectPr w:rsidR="00FE4E5E" w:rsidSect="009266D2">
      <w:footerReference w:type="default" r:id="rId10"/>
      <w:pgSz w:w="11906" w:h="16838"/>
      <w:pgMar w:top="851" w:right="1440" w:bottom="851" w:left="1440" w:header="794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A8FAA9" w14:textId="77777777" w:rsidR="00BA3F13" w:rsidRDefault="00BA3F13" w:rsidP="00033081">
      <w:pPr>
        <w:spacing w:before="0" w:after="0" w:line="240" w:lineRule="auto"/>
      </w:pPr>
      <w:r>
        <w:separator/>
      </w:r>
    </w:p>
  </w:endnote>
  <w:endnote w:type="continuationSeparator" w:id="0">
    <w:p w14:paraId="7DA8FAAA" w14:textId="77777777" w:rsidR="00BA3F13" w:rsidRDefault="00BA3F13" w:rsidP="00033081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5171450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DA8FAAB" w14:textId="77777777" w:rsidR="00033081" w:rsidRDefault="0003308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266D2">
          <w:rPr>
            <w:noProof/>
          </w:rPr>
          <w:t>1</w:t>
        </w:r>
        <w:r>
          <w:rPr>
            <w:noProof/>
          </w:rPr>
          <w:fldChar w:fldCharType="end"/>
        </w:r>
        <w:r>
          <w:rPr>
            <w:noProof/>
          </w:rPr>
          <w:t xml:space="preserve"> of 1</w:t>
        </w:r>
      </w:p>
    </w:sdtContent>
  </w:sdt>
  <w:p w14:paraId="7DA8FAAC" w14:textId="77777777" w:rsidR="00033081" w:rsidRDefault="0003308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A8FAA7" w14:textId="77777777" w:rsidR="00BA3F13" w:rsidRDefault="00BA3F13" w:rsidP="00033081">
      <w:pPr>
        <w:spacing w:before="0" w:after="0" w:line="240" w:lineRule="auto"/>
      </w:pPr>
      <w:r>
        <w:separator/>
      </w:r>
    </w:p>
  </w:footnote>
  <w:footnote w:type="continuationSeparator" w:id="0">
    <w:p w14:paraId="7DA8FAA8" w14:textId="77777777" w:rsidR="00BA3F13" w:rsidRDefault="00BA3F13" w:rsidP="00033081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2674DB"/>
    <w:multiLevelType w:val="multilevel"/>
    <w:tmpl w:val="AC5837C0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4A666916"/>
    <w:multiLevelType w:val="hybridMultilevel"/>
    <w:tmpl w:val="57A0F32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29807B1"/>
    <w:multiLevelType w:val="hybridMultilevel"/>
    <w:tmpl w:val="2D323E78"/>
    <w:lvl w:ilvl="0" w:tplc="C15EE904">
      <w:start w:val="1"/>
      <w:numFmt w:val="upperLetter"/>
      <w:lvlText w:val="%1."/>
      <w:lvlJc w:val="left"/>
      <w:pPr>
        <w:ind w:left="720" w:hanging="360"/>
      </w:pPr>
      <w:rPr>
        <w:color w:val="18833D" w:themeColor="accent1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pStyle w:val="Heading9"/>
      <w:lvlText w:val="%9."/>
      <w:lvlJc w:val="right"/>
      <w:pPr>
        <w:ind w:left="6480" w:hanging="180"/>
      </w:pPr>
    </w:lvl>
  </w:abstractNum>
  <w:abstractNum w:abstractNumId="3" w15:restartNumberingAfterBreak="0">
    <w:nsid w:val="76741ED2"/>
    <w:multiLevelType w:val="hybridMultilevel"/>
    <w:tmpl w:val="3E1035E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CC036B"/>
    <w:multiLevelType w:val="multilevel"/>
    <w:tmpl w:val="0C0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2"/>
  </w:num>
  <w:num w:numId="2">
    <w:abstractNumId w:val="4"/>
  </w:num>
  <w:num w:numId="3">
    <w:abstractNumId w:val="4"/>
  </w:num>
  <w:num w:numId="4">
    <w:abstractNumId w:val="4"/>
  </w:num>
  <w:num w:numId="5">
    <w:abstractNumId w:val="4"/>
  </w:num>
  <w:num w:numId="6">
    <w:abstractNumId w:val="4"/>
  </w:num>
  <w:num w:numId="7">
    <w:abstractNumId w:val="4"/>
  </w:num>
  <w:num w:numId="8">
    <w:abstractNumId w:val="2"/>
  </w:num>
  <w:num w:numId="9">
    <w:abstractNumId w:val="4"/>
  </w:num>
  <w:num w:numId="10">
    <w:abstractNumId w:val="4"/>
  </w:num>
  <w:num w:numId="11">
    <w:abstractNumId w:val="4"/>
  </w:num>
  <w:num w:numId="12">
    <w:abstractNumId w:val="4"/>
  </w:num>
  <w:num w:numId="13">
    <w:abstractNumId w:val="4"/>
  </w:num>
  <w:num w:numId="14">
    <w:abstractNumId w:val="4"/>
  </w:num>
  <w:num w:numId="15">
    <w:abstractNumId w:val="2"/>
  </w:num>
  <w:num w:numId="16">
    <w:abstractNumId w:val="4"/>
  </w:num>
  <w:num w:numId="17">
    <w:abstractNumId w:val="4"/>
  </w:num>
  <w:num w:numId="18">
    <w:abstractNumId w:val="4"/>
  </w:num>
  <w:num w:numId="19">
    <w:abstractNumId w:val="4"/>
  </w:num>
  <w:num w:numId="20">
    <w:abstractNumId w:val="4"/>
  </w:num>
  <w:num w:numId="21">
    <w:abstractNumId w:val="4"/>
  </w:num>
  <w:num w:numId="22">
    <w:abstractNumId w:val="2"/>
  </w:num>
  <w:num w:numId="23">
    <w:abstractNumId w:val="4"/>
  </w:num>
  <w:num w:numId="24">
    <w:abstractNumId w:val="4"/>
  </w:num>
  <w:num w:numId="25">
    <w:abstractNumId w:val="4"/>
  </w:num>
  <w:num w:numId="26">
    <w:abstractNumId w:val="4"/>
  </w:num>
  <w:num w:numId="27">
    <w:abstractNumId w:val="2"/>
  </w:num>
  <w:num w:numId="28">
    <w:abstractNumId w:val="4"/>
  </w:num>
  <w:num w:numId="29">
    <w:abstractNumId w:val="4"/>
  </w:num>
  <w:num w:numId="30">
    <w:abstractNumId w:val="4"/>
  </w:num>
  <w:num w:numId="31">
    <w:abstractNumId w:val="4"/>
  </w:num>
  <w:num w:numId="32">
    <w:abstractNumId w:val="4"/>
  </w:num>
  <w:num w:numId="33">
    <w:abstractNumId w:val="4"/>
  </w:num>
  <w:num w:numId="34">
    <w:abstractNumId w:val="2"/>
  </w:num>
  <w:num w:numId="35">
    <w:abstractNumId w:val="4"/>
  </w:num>
  <w:num w:numId="36">
    <w:abstractNumId w:val="4"/>
  </w:num>
  <w:num w:numId="37">
    <w:abstractNumId w:val="4"/>
  </w:num>
  <w:num w:numId="38">
    <w:abstractNumId w:val="4"/>
  </w:num>
  <w:num w:numId="39">
    <w:abstractNumId w:val="0"/>
  </w:num>
  <w:num w:numId="40">
    <w:abstractNumId w:val="3"/>
  </w:num>
  <w:num w:numId="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9CB"/>
    <w:rsid w:val="000064F9"/>
    <w:rsid w:val="00033081"/>
    <w:rsid w:val="00036113"/>
    <w:rsid w:val="0004072F"/>
    <w:rsid w:val="00052CDB"/>
    <w:rsid w:val="0005364A"/>
    <w:rsid w:val="000846B1"/>
    <w:rsid w:val="000956A6"/>
    <w:rsid w:val="000A27A1"/>
    <w:rsid w:val="000B3257"/>
    <w:rsid w:val="000D5F59"/>
    <w:rsid w:val="000D7FED"/>
    <w:rsid w:val="000F1592"/>
    <w:rsid w:val="00143808"/>
    <w:rsid w:val="00146943"/>
    <w:rsid w:val="00152970"/>
    <w:rsid w:val="00153315"/>
    <w:rsid w:val="0017535E"/>
    <w:rsid w:val="001B00EA"/>
    <w:rsid w:val="001C0DE6"/>
    <w:rsid w:val="001C117B"/>
    <w:rsid w:val="0020540E"/>
    <w:rsid w:val="0022620C"/>
    <w:rsid w:val="00245594"/>
    <w:rsid w:val="002755CE"/>
    <w:rsid w:val="00277965"/>
    <w:rsid w:val="00281892"/>
    <w:rsid w:val="00291463"/>
    <w:rsid w:val="00295B1E"/>
    <w:rsid w:val="002D6279"/>
    <w:rsid w:val="002E09C3"/>
    <w:rsid w:val="002E3115"/>
    <w:rsid w:val="00343250"/>
    <w:rsid w:val="00372BA4"/>
    <w:rsid w:val="00383603"/>
    <w:rsid w:val="003A00E2"/>
    <w:rsid w:val="003A04B4"/>
    <w:rsid w:val="003C1467"/>
    <w:rsid w:val="003E0083"/>
    <w:rsid w:val="003F5847"/>
    <w:rsid w:val="004374CA"/>
    <w:rsid w:val="00442A94"/>
    <w:rsid w:val="00444A5B"/>
    <w:rsid w:val="0046449F"/>
    <w:rsid w:val="00464C04"/>
    <w:rsid w:val="0047001C"/>
    <w:rsid w:val="00473865"/>
    <w:rsid w:val="00484822"/>
    <w:rsid w:val="004872D6"/>
    <w:rsid w:val="004B072E"/>
    <w:rsid w:val="004C02B8"/>
    <w:rsid w:val="004C7B54"/>
    <w:rsid w:val="005111F2"/>
    <w:rsid w:val="0051322B"/>
    <w:rsid w:val="005242AB"/>
    <w:rsid w:val="005900EA"/>
    <w:rsid w:val="005A3A6C"/>
    <w:rsid w:val="005B583A"/>
    <w:rsid w:val="005C5FD1"/>
    <w:rsid w:val="005D00AC"/>
    <w:rsid w:val="005E421A"/>
    <w:rsid w:val="005E6DCD"/>
    <w:rsid w:val="006338CF"/>
    <w:rsid w:val="006352C9"/>
    <w:rsid w:val="006579C5"/>
    <w:rsid w:val="00664BB0"/>
    <w:rsid w:val="00671D46"/>
    <w:rsid w:val="006826C3"/>
    <w:rsid w:val="006A36BE"/>
    <w:rsid w:val="006B0EE6"/>
    <w:rsid w:val="006B1DEA"/>
    <w:rsid w:val="006D4136"/>
    <w:rsid w:val="006E3FE1"/>
    <w:rsid w:val="006F14A7"/>
    <w:rsid w:val="00713B39"/>
    <w:rsid w:val="00726BAA"/>
    <w:rsid w:val="0073266F"/>
    <w:rsid w:val="0075746D"/>
    <w:rsid w:val="007765E8"/>
    <w:rsid w:val="0079424F"/>
    <w:rsid w:val="007A663B"/>
    <w:rsid w:val="007A790A"/>
    <w:rsid w:val="007E419D"/>
    <w:rsid w:val="00811D33"/>
    <w:rsid w:val="00837D85"/>
    <w:rsid w:val="00840B00"/>
    <w:rsid w:val="00845059"/>
    <w:rsid w:val="0084770C"/>
    <w:rsid w:val="008500CC"/>
    <w:rsid w:val="00871D40"/>
    <w:rsid w:val="008B5CFD"/>
    <w:rsid w:val="008C21EF"/>
    <w:rsid w:val="008C392C"/>
    <w:rsid w:val="008D6040"/>
    <w:rsid w:val="008E1106"/>
    <w:rsid w:val="00911F83"/>
    <w:rsid w:val="00915C02"/>
    <w:rsid w:val="00917AA2"/>
    <w:rsid w:val="00923093"/>
    <w:rsid w:val="009266D2"/>
    <w:rsid w:val="009401FD"/>
    <w:rsid w:val="00943EFD"/>
    <w:rsid w:val="00947EAA"/>
    <w:rsid w:val="0096421A"/>
    <w:rsid w:val="009817D0"/>
    <w:rsid w:val="009838E2"/>
    <w:rsid w:val="009C5787"/>
    <w:rsid w:val="00A0416A"/>
    <w:rsid w:val="00A0482F"/>
    <w:rsid w:val="00A04A90"/>
    <w:rsid w:val="00A079CB"/>
    <w:rsid w:val="00A217A6"/>
    <w:rsid w:val="00A21881"/>
    <w:rsid w:val="00A50DFF"/>
    <w:rsid w:val="00A55D7F"/>
    <w:rsid w:val="00A6324A"/>
    <w:rsid w:val="00A740DB"/>
    <w:rsid w:val="00A86C27"/>
    <w:rsid w:val="00A963BB"/>
    <w:rsid w:val="00AC1610"/>
    <w:rsid w:val="00AC1737"/>
    <w:rsid w:val="00AE09EC"/>
    <w:rsid w:val="00B11F93"/>
    <w:rsid w:val="00B304D3"/>
    <w:rsid w:val="00B349A5"/>
    <w:rsid w:val="00B4610C"/>
    <w:rsid w:val="00B5576E"/>
    <w:rsid w:val="00B804DE"/>
    <w:rsid w:val="00B85482"/>
    <w:rsid w:val="00BA3F13"/>
    <w:rsid w:val="00BE7D2E"/>
    <w:rsid w:val="00BF0BFD"/>
    <w:rsid w:val="00C424AD"/>
    <w:rsid w:val="00C65E8B"/>
    <w:rsid w:val="00C74E3C"/>
    <w:rsid w:val="00C82721"/>
    <w:rsid w:val="00CA52D5"/>
    <w:rsid w:val="00CA75AB"/>
    <w:rsid w:val="00CD4ED3"/>
    <w:rsid w:val="00D0554E"/>
    <w:rsid w:val="00D12FAC"/>
    <w:rsid w:val="00D2520A"/>
    <w:rsid w:val="00D360E7"/>
    <w:rsid w:val="00D40DDF"/>
    <w:rsid w:val="00D543AF"/>
    <w:rsid w:val="00D762E0"/>
    <w:rsid w:val="00D9172F"/>
    <w:rsid w:val="00DA3AF4"/>
    <w:rsid w:val="00DC4E99"/>
    <w:rsid w:val="00DD6313"/>
    <w:rsid w:val="00DE1E3A"/>
    <w:rsid w:val="00E00A1B"/>
    <w:rsid w:val="00E33614"/>
    <w:rsid w:val="00E43668"/>
    <w:rsid w:val="00E46941"/>
    <w:rsid w:val="00E63D6D"/>
    <w:rsid w:val="00E77CF9"/>
    <w:rsid w:val="00E807C5"/>
    <w:rsid w:val="00EB0AD0"/>
    <w:rsid w:val="00EB2473"/>
    <w:rsid w:val="00EE1591"/>
    <w:rsid w:val="00EE2D60"/>
    <w:rsid w:val="00EE455E"/>
    <w:rsid w:val="00F00A65"/>
    <w:rsid w:val="00F35B0D"/>
    <w:rsid w:val="00F41405"/>
    <w:rsid w:val="00F47304"/>
    <w:rsid w:val="00F5313D"/>
    <w:rsid w:val="00F878DB"/>
    <w:rsid w:val="00F90BD3"/>
    <w:rsid w:val="00F91BF1"/>
    <w:rsid w:val="00F9677F"/>
    <w:rsid w:val="00F97B39"/>
    <w:rsid w:val="00FA359D"/>
    <w:rsid w:val="00FC050D"/>
    <w:rsid w:val="00FC3974"/>
    <w:rsid w:val="00FC789F"/>
    <w:rsid w:val="00FE4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A8FA7D"/>
  <w15:chartTrackingRefBased/>
  <w15:docId w15:val="{0776811D-3E16-45AA-A3A4-5E208210E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en-AU" w:eastAsia="en-US" w:bidi="ar-SA"/>
      </w:rPr>
    </w:rPrDefault>
    <w:pPrDefault>
      <w:pPr>
        <w:spacing w:before="120" w:after="12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7CF9"/>
  </w:style>
  <w:style w:type="paragraph" w:styleId="Heading1">
    <w:name w:val="heading 1"/>
    <w:basedOn w:val="Normal"/>
    <w:next w:val="Normal"/>
    <w:link w:val="Heading1Char"/>
    <w:uiPriority w:val="9"/>
    <w:qFormat/>
    <w:rsid w:val="00E77CF9"/>
    <w:pPr>
      <w:keepNext/>
      <w:keepLines/>
      <w:numPr>
        <w:numId w:val="39"/>
      </w:numPr>
      <w:spacing w:before="240" w:after="0"/>
      <w:ind w:hanging="360"/>
      <w:outlineLvl w:val="0"/>
    </w:pPr>
    <w:rPr>
      <w:rFonts w:ascii="Century Gothic" w:eastAsiaTheme="majorEastAsia" w:hAnsi="Century Gothic" w:cstheme="majorBidi"/>
      <w:color w:val="18833D" w:themeColor="accent1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77CF9"/>
    <w:pPr>
      <w:keepNext/>
      <w:keepLines/>
      <w:spacing w:before="40" w:after="0"/>
      <w:outlineLvl w:val="1"/>
    </w:pPr>
    <w:rPr>
      <w:rFonts w:ascii="Century Gothic" w:eastAsiaTheme="majorEastAsia" w:hAnsi="Century Gothic" w:cstheme="majorBidi"/>
      <w:color w:val="18833D" w:themeColor="accent1"/>
      <w:sz w:val="32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E77CF9"/>
    <w:pPr>
      <w:keepNext/>
      <w:keepLines/>
      <w:outlineLvl w:val="2"/>
    </w:pPr>
    <w:rPr>
      <w:rFonts w:ascii="Century Gothic" w:eastAsiaTheme="majorEastAsia" w:hAnsi="Century Gothic" w:cstheme="majorBidi"/>
      <w:color w:val="18833D" w:themeColor="accent1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E77CF9"/>
    <w:pPr>
      <w:keepNext/>
      <w:keepLines/>
      <w:numPr>
        <w:ilvl w:val="3"/>
        <w:numId w:val="38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12622D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E77CF9"/>
    <w:pPr>
      <w:keepNext/>
      <w:keepLines/>
      <w:numPr>
        <w:ilvl w:val="4"/>
        <w:numId w:val="38"/>
      </w:numPr>
      <w:spacing w:before="40" w:after="0"/>
      <w:outlineLvl w:val="4"/>
    </w:pPr>
    <w:rPr>
      <w:rFonts w:asciiTheme="majorHAnsi" w:eastAsiaTheme="majorEastAsia" w:hAnsiTheme="majorHAnsi" w:cstheme="majorBidi"/>
      <w:color w:val="12622D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77CF9"/>
    <w:pPr>
      <w:keepNext/>
      <w:keepLines/>
      <w:numPr>
        <w:ilvl w:val="5"/>
        <w:numId w:val="38"/>
      </w:numPr>
      <w:spacing w:before="40" w:after="0"/>
      <w:outlineLvl w:val="5"/>
    </w:pPr>
    <w:rPr>
      <w:rFonts w:asciiTheme="majorHAnsi" w:eastAsiaTheme="majorEastAsia" w:hAnsiTheme="majorHAnsi" w:cstheme="majorBidi"/>
      <w:color w:val="0C411E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77CF9"/>
    <w:pPr>
      <w:keepNext/>
      <w:keepLines/>
      <w:numPr>
        <w:ilvl w:val="6"/>
        <w:numId w:val="38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0C411E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77CF9"/>
    <w:pPr>
      <w:keepNext/>
      <w:keepLines/>
      <w:numPr>
        <w:ilvl w:val="7"/>
        <w:numId w:val="38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77CF9"/>
    <w:pPr>
      <w:keepNext/>
      <w:keepLines/>
      <w:numPr>
        <w:ilvl w:val="8"/>
        <w:numId w:val="1"/>
      </w:numPr>
      <w:spacing w:before="40" w:after="0"/>
      <w:ind w:left="1584" w:hanging="1584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Light">
    <w:name w:val="Grid Table Light"/>
    <w:basedOn w:val="TableNormal"/>
    <w:uiPriority w:val="40"/>
    <w:rsid w:val="00E77CF9"/>
    <w:rPr>
      <w:rFonts w:ascii="Arial" w:hAnsi="Arial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apple-converted-space">
    <w:name w:val="apple-converted-space"/>
    <w:basedOn w:val="DefaultParagraphFont"/>
    <w:rsid w:val="00E77CF9"/>
  </w:style>
  <w:style w:type="table" w:customStyle="1" w:styleId="TipTable">
    <w:name w:val="Tip Table"/>
    <w:basedOn w:val="TableNormal"/>
    <w:uiPriority w:val="99"/>
    <w:rsid w:val="00E77CF9"/>
    <w:pPr>
      <w:spacing w:after="0" w:line="240" w:lineRule="auto"/>
    </w:pPr>
    <w:rPr>
      <w:color w:val="404040" w:themeColor="text1" w:themeTint="BF"/>
      <w:sz w:val="18"/>
      <w:lang w:val="en-US" w:eastAsia="ja-JP"/>
    </w:rPr>
    <w:tblPr>
      <w:tblCellMar>
        <w:top w:w="144" w:type="dxa"/>
        <w:left w:w="0" w:type="dxa"/>
        <w:right w:w="0" w:type="dxa"/>
      </w:tblCellMar>
    </w:tblPr>
    <w:tcPr>
      <w:shd w:val="clear" w:color="auto" w:fill="C2F4D3" w:themeFill="accent1" w:themeFillTint="33"/>
    </w:tcPr>
    <w:tblStylePr w:type="firstCol">
      <w:pPr>
        <w:wordWrap/>
        <w:jc w:val="center"/>
      </w:pPr>
    </w:tblStylePr>
  </w:style>
  <w:style w:type="paragraph" w:customStyle="1" w:styleId="TipText">
    <w:name w:val="Tip Text"/>
    <w:basedOn w:val="Normal"/>
    <w:uiPriority w:val="99"/>
    <w:rsid w:val="00E77CF9"/>
    <w:pPr>
      <w:spacing w:after="160" w:line="264" w:lineRule="auto"/>
      <w:ind w:right="576"/>
    </w:pPr>
    <w:rPr>
      <w:i/>
      <w:iCs/>
      <w:color w:val="7F7F7F" w:themeColor="text1" w:themeTint="80"/>
      <w:sz w:val="16"/>
      <w:lang w:val="en-US" w:eastAsia="ja-JP"/>
    </w:rPr>
  </w:style>
  <w:style w:type="paragraph" w:customStyle="1" w:styleId="Default">
    <w:name w:val="Default"/>
    <w:rsid w:val="00E77CF9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customStyle="1" w:styleId="CATNormal">
    <w:name w:val="CAT Normal"/>
    <w:link w:val="CATNormalChar"/>
    <w:rsid w:val="00E77CF9"/>
    <w:pPr>
      <w:spacing w:line="240" w:lineRule="auto"/>
    </w:pPr>
    <w:rPr>
      <w:rFonts w:ascii="Arial" w:eastAsia="Times New Roman" w:hAnsi="Arial" w:cs="Times New Roman"/>
    </w:rPr>
  </w:style>
  <w:style w:type="character" w:customStyle="1" w:styleId="CATNormalChar">
    <w:name w:val="CAT Normal Char"/>
    <w:basedOn w:val="DefaultParagraphFont"/>
    <w:link w:val="CATNormal"/>
    <w:rsid w:val="00E77CF9"/>
    <w:rPr>
      <w:rFonts w:ascii="Arial" w:eastAsia="Times New Roman" w:hAnsi="Arial" w:cs="Times New Roman"/>
    </w:rPr>
  </w:style>
  <w:style w:type="character" w:customStyle="1" w:styleId="cell-data">
    <w:name w:val="cell-data"/>
    <w:basedOn w:val="DefaultParagraphFont"/>
    <w:rsid w:val="00E77CF9"/>
  </w:style>
  <w:style w:type="paragraph" w:customStyle="1" w:styleId="Footnote">
    <w:name w:val="Footnote"/>
    <w:basedOn w:val="FootnoteText"/>
    <w:link w:val="FootnoteChar"/>
    <w:rsid w:val="00E77CF9"/>
  </w:style>
  <w:style w:type="character" w:customStyle="1" w:styleId="FootnoteChar">
    <w:name w:val="Footnote Char"/>
    <w:basedOn w:val="FootnoteTextChar"/>
    <w:link w:val="Footnote"/>
    <w:rsid w:val="00E77CF9"/>
    <w:rPr>
      <w:rFonts w:ascii="Arial" w:hAnsi="Arial"/>
      <w:sz w:val="16"/>
    </w:rPr>
  </w:style>
  <w:style w:type="paragraph" w:styleId="FootnoteText">
    <w:name w:val="footnote text"/>
    <w:basedOn w:val="Normal"/>
    <w:link w:val="FootnoteTextChar"/>
    <w:autoRedefine/>
    <w:uiPriority w:val="99"/>
    <w:unhideWhenUsed/>
    <w:qFormat/>
    <w:rsid w:val="00E77CF9"/>
    <w:pPr>
      <w:spacing w:before="0" w:after="0"/>
    </w:pPr>
    <w:rPr>
      <w:rFonts w:ascii="Arial" w:hAnsi="Arial"/>
      <w:sz w:val="16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E77CF9"/>
    <w:rPr>
      <w:rFonts w:ascii="Arial" w:hAnsi="Arial"/>
      <w:sz w:val="16"/>
    </w:rPr>
  </w:style>
  <w:style w:type="character" w:customStyle="1" w:styleId="Heading1Char">
    <w:name w:val="Heading 1 Char"/>
    <w:basedOn w:val="DefaultParagraphFont"/>
    <w:link w:val="Heading1"/>
    <w:uiPriority w:val="9"/>
    <w:rsid w:val="00E77CF9"/>
    <w:rPr>
      <w:rFonts w:ascii="Century Gothic" w:eastAsiaTheme="majorEastAsia" w:hAnsi="Century Gothic" w:cstheme="majorBidi"/>
      <w:color w:val="18833D" w:themeColor="accent1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77CF9"/>
    <w:rPr>
      <w:rFonts w:ascii="Century Gothic" w:eastAsiaTheme="majorEastAsia" w:hAnsi="Century Gothic" w:cstheme="majorBidi"/>
      <w:color w:val="18833D" w:themeColor="accent1"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77CF9"/>
    <w:rPr>
      <w:rFonts w:ascii="Century Gothic" w:eastAsiaTheme="majorEastAsia" w:hAnsi="Century Gothic" w:cstheme="majorBidi"/>
      <w:color w:val="18833D" w:themeColor="accen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E77CF9"/>
    <w:rPr>
      <w:rFonts w:asciiTheme="majorHAnsi" w:eastAsiaTheme="majorEastAsia" w:hAnsiTheme="majorHAnsi" w:cstheme="majorBidi"/>
      <w:i/>
      <w:iCs/>
      <w:color w:val="12622D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77CF9"/>
    <w:rPr>
      <w:rFonts w:asciiTheme="majorHAnsi" w:eastAsiaTheme="majorEastAsia" w:hAnsiTheme="majorHAnsi" w:cstheme="majorBidi"/>
      <w:color w:val="12622D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77CF9"/>
    <w:rPr>
      <w:rFonts w:asciiTheme="majorHAnsi" w:eastAsiaTheme="majorEastAsia" w:hAnsiTheme="majorHAnsi" w:cstheme="majorBidi"/>
      <w:color w:val="0C411E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77CF9"/>
    <w:rPr>
      <w:rFonts w:asciiTheme="majorHAnsi" w:eastAsiaTheme="majorEastAsia" w:hAnsiTheme="majorHAnsi" w:cstheme="majorBidi"/>
      <w:i/>
      <w:iCs/>
      <w:color w:val="0C411E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77CF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77CF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OC1">
    <w:name w:val="toc 1"/>
    <w:basedOn w:val="Normal"/>
    <w:next w:val="Normal"/>
    <w:autoRedefine/>
    <w:uiPriority w:val="39"/>
    <w:unhideWhenUsed/>
    <w:rsid w:val="00E77CF9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qFormat/>
    <w:rsid w:val="00A21881"/>
    <w:pPr>
      <w:tabs>
        <w:tab w:val="right" w:leader="dot" w:pos="8755"/>
      </w:tabs>
      <w:spacing w:after="100"/>
      <w:ind w:left="426"/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E77CF9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77CF9"/>
  </w:style>
  <w:style w:type="paragraph" w:styleId="Header">
    <w:name w:val="header"/>
    <w:basedOn w:val="Normal"/>
    <w:link w:val="HeaderChar"/>
    <w:uiPriority w:val="99"/>
    <w:unhideWhenUsed/>
    <w:rsid w:val="00E77C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7CF9"/>
  </w:style>
  <w:style w:type="paragraph" w:styleId="Footer">
    <w:name w:val="footer"/>
    <w:basedOn w:val="Normal"/>
    <w:link w:val="FooterChar"/>
    <w:uiPriority w:val="99"/>
    <w:unhideWhenUsed/>
    <w:rsid w:val="00E77C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7CF9"/>
  </w:style>
  <w:style w:type="character" w:styleId="FootnoteReference">
    <w:name w:val="footnote reference"/>
    <w:basedOn w:val="DefaultParagraphFont"/>
    <w:uiPriority w:val="99"/>
    <w:unhideWhenUsed/>
    <w:qFormat/>
    <w:rsid w:val="00E77CF9"/>
    <w:rPr>
      <w:rFonts w:ascii="Arial" w:hAnsi="Arial"/>
      <w:sz w:val="16"/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E77CF9"/>
    <w:rPr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E77CF9"/>
    <w:pPr>
      <w:spacing w:before="360" w:line="240" w:lineRule="auto"/>
      <w:contextualSpacing/>
    </w:pPr>
    <w:rPr>
      <w:rFonts w:ascii="Century Gothic" w:eastAsiaTheme="majorEastAsia" w:hAnsi="Century Gothic" w:cstheme="majorBidi"/>
      <w:spacing w:val="5"/>
      <w:sz w:val="60"/>
      <w:szCs w:val="60"/>
    </w:rPr>
  </w:style>
  <w:style w:type="character" w:customStyle="1" w:styleId="TitleChar">
    <w:name w:val="Title Char"/>
    <w:basedOn w:val="DefaultParagraphFont"/>
    <w:link w:val="Title"/>
    <w:uiPriority w:val="10"/>
    <w:rsid w:val="00E77CF9"/>
    <w:rPr>
      <w:rFonts w:ascii="Century Gothic" w:eastAsiaTheme="majorEastAsia" w:hAnsi="Century Gothic" w:cstheme="majorBidi"/>
      <w:spacing w:val="5"/>
      <w:sz w:val="60"/>
      <w:szCs w:val="60"/>
    </w:rPr>
  </w:style>
  <w:style w:type="paragraph" w:styleId="Subtitle">
    <w:name w:val="Subtitle"/>
    <w:aliases w:val="Table subheading"/>
    <w:basedOn w:val="Normal"/>
    <w:next w:val="Normal"/>
    <w:link w:val="SubtitleChar"/>
    <w:autoRedefine/>
    <w:uiPriority w:val="11"/>
    <w:qFormat/>
    <w:rsid w:val="00E77CF9"/>
    <w:pPr>
      <w:spacing w:after="240"/>
    </w:pPr>
    <w:rPr>
      <w:rFonts w:ascii="Century Gothic" w:eastAsiaTheme="majorEastAsia" w:hAnsi="Century Gothic" w:cstheme="majorBidi"/>
      <w:b/>
      <w:iCs/>
      <w:color w:val="18833D" w:themeColor="accent1"/>
      <w:spacing w:val="13"/>
      <w:sz w:val="48"/>
      <w:szCs w:val="40"/>
    </w:rPr>
  </w:style>
  <w:style w:type="character" w:customStyle="1" w:styleId="SubtitleChar">
    <w:name w:val="Subtitle Char"/>
    <w:aliases w:val="Table subheading Char"/>
    <w:basedOn w:val="DefaultParagraphFont"/>
    <w:link w:val="Subtitle"/>
    <w:uiPriority w:val="11"/>
    <w:rsid w:val="00E77CF9"/>
    <w:rPr>
      <w:rFonts w:ascii="Century Gothic" w:eastAsiaTheme="majorEastAsia" w:hAnsi="Century Gothic" w:cstheme="majorBidi"/>
      <w:b/>
      <w:iCs/>
      <w:color w:val="18833D" w:themeColor="accent1"/>
      <w:spacing w:val="13"/>
      <w:sz w:val="48"/>
      <w:szCs w:val="40"/>
    </w:rPr>
  </w:style>
  <w:style w:type="character" w:styleId="Hyperlink">
    <w:name w:val="Hyperlink"/>
    <w:basedOn w:val="DefaultParagraphFont"/>
    <w:uiPriority w:val="99"/>
    <w:unhideWhenUsed/>
    <w:rsid w:val="00E77CF9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E77CF9"/>
    <w:rPr>
      <w:b/>
      <w:bCs/>
    </w:rPr>
  </w:style>
  <w:style w:type="character" w:styleId="Emphasis">
    <w:name w:val="Emphasis"/>
    <w:basedOn w:val="DefaultParagraphFont"/>
    <w:uiPriority w:val="20"/>
    <w:qFormat/>
    <w:rsid w:val="00E77CF9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7CF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7CF9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7C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7CF9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E77CF9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basedOn w:val="Normal"/>
    <w:uiPriority w:val="1"/>
    <w:rsid w:val="00E77CF9"/>
    <w:pPr>
      <w:spacing w:after="0" w:line="240" w:lineRule="auto"/>
    </w:pPr>
    <w:rPr>
      <w:rFonts w:eastAsia="Calibri" w:cs="Times New Roman"/>
      <w:b/>
    </w:rPr>
  </w:style>
  <w:style w:type="paragraph" w:styleId="ListParagraph">
    <w:name w:val="List Paragraph"/>
    <w:aliases w:val="List Paragraph1,List Paragraph11,Bullet point,Recommendation,Dot point 1.5 line spacing,L,bullet point list,List Paragraph - bullets,DDM Gen Text,NFP GP Bulleted List,List Paragraph Number,Content descriptions,Bullet Point,Bullet points"/>
    <w:basedOn w:val="Normal"/>
    <w:link w:val="ListParagraphChar"/>
    <w:uiPriority w:val="34"/>
    <w:qFormat/>
    <w:rsid w:val="00E77CF9"/>
    <w:pPr>
      <w:ind w:left="720"/>
      <w:contextualSpacing/>
    </w:pPr>
  </w:style>
  <w:style w:type="character" w:customStyle="1" w:styleId="ListParagraphChar">
    <w:name w:val="List Paragraph Char"/>
    <w:aliases w:val="List Paragraph1 Char,List Paragraph11 Char,Bullet point Char,Recommendation Char,Dot point 1.5 line spacing Char,L Char,bullet point list Char,List Paragraph - bullets Char,DDM Gen Text Char,NFP GP Bulleted List Char"/>
    <w:link w:val="ListParagraph"/>
    <w:uiPriority w:val="34"/>
    <w:locked/>
    <w:rsid w:val="00E77CF9"/>
  </w:style>
  <w:style w:type="paragraph" w:customStyle="1" w:styleId="SIUNITCODE">
    <w:name w:val="SI UNIT CODE"/>
    <w:qFormat/>
    <w:rsid w:val="00726BAA"/>
    <w:pPr>
      <w:spacing w:before="80" w:after="80" w:line="240" w:lineRule="auto"/>
    </w:pPr>
    <w:rPr>
      <w:rFonts w:ascii="Arial" w:eastAsia="Times New Roman" w:hAnsi="Arial" w:cs="Times New Roman"/>
      <w:b/>
      <w:caps/>
      <w:sz w:val="22"/>
      <w:szCs w:val="22"/>
      <w:lang w:eastAsia="en-AU"/>
    </w:rPr>
  </w:style>
  <w:style w:type="paragraph" w:customStyle="1" w:styleId="SIUnittitle">
    <w:name w:val="SI Unit title"/>
    <w:qFormat/>
    <w:rsid w:val="00726BAA"/>
    <w:pPr>
      <w:spacing w:before="80" w:after="80" w:line="240" w:lineRule="auto"/>
    </w:pPr>
    <w:rPr>
      <w:rFonts w:ascii="Arial" w:eastAsia="Times New Roman" w:hAnsi="Arial" w:cs="Times New Roman"/>
      <w:b/>
      <w:sz w:val="22"/>
      <w:szCs w:val="22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ysClr val="window" lastClr="FFFFFF"/>
      </a:lt1>
      <a:dk2>
        <a:srgbClr val="0C1227"/>
      </a:dk2>
      <a:lt2>
        <a:srgbClr val="FDF9F7"/>
      </a:lt2>
      <a:accent1>
        <a:srgbClr val="18833D"/>
      </a:accent1>
      <a:accent2>
        <a:srgbClr val="ED8B00"/>
      </a:accent2>
      <a:accent3>
        <a:srgbClr val="CF4520"/>
      </a:accent3>
      <a:accent4>
        <a:srgbClr val="84BD00"/>
      </a:accent4>
      <a:accent5>
        <a:srgbClr val="0072CE"/>
      </a:accent5>
      <a:accent6>
        <a:srgbClr val="555555"/>
      </a:accent6>
      <a:hlink>
        <a:srgbClr val="0072C6"/>
      </a:hlink>
      <a:folHlink>
        <a:srgbClr val="79498B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A993A7338B81499AE2995CBFE1DB7A" ma:contentTypeVersion="" ma:contentTypeDescription="Create a new document." ma:contentTypeScope="" ma:versionID="c9607bcebdf692bcc3fef951aca2c430">
  <xsd:schema xmlns:xsd="http://www.w3.org/2001/XMLSchema" xmlns:xs="http://www.w3.org/2001/XMLSchema" xmlns:p="http://schemas.microsoft.com/office/2006/metadata/properties" xmlns:ns2="3869db97-dd18-4e83-af6c-d0927595ea3e" targetNamespace="http://schemas.microsoft.com/office/2006/metadata/properties" ma:root="true" ma:fieldsID="8ac181de0c9d6d54f1714da8fd023f08" ns2:_="">
    <xsd:import namespace="3869db97-dd18-4e83-af6c-d0927595ea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69db97-dd18-4e83-af6c-d0927595ea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2E1BCBC-AB9E-42CB-91BF-26377406FEF1}">
  <ds:schemaRefs>
    <ds:schemaRef ds:uri="http://schemas.microsoft.com/office/2006/metadata/properties"/>
    <ds:schemaRef ds:uri="http://purl.org/dc/dcmitype/"/>
    <ds:schemaRef ds:uri="http://purl.org/dc/terms/"/>
    <ds:schemaRef ds:uri="http://www.w3.org/XML/1998/namespace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3869db97-dd18-4e83-af6c-d0927595ea3e"/>
  </ds:schemaRefs>
</ds:datastoreItem>
</file>

<file path=customXml/itemProps2.xml><?xml version="1.0" encoding="utf-8"?>
<ds:datastoreItem xmlns:ds="http://schemas.openxmlformats.org/officeDocument/2006/customXml" ds:itemID="{6AF5E065-ED6A-474D-AEFC-84ADE21191F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4D002D4-6EBC-4B8A-93F3-62D710B9FA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69db97-dd18-4e83-af6c-d0927595ea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377</Words>
  <Characters>2154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gdaian</dc:creator>
  <cp:keywords/>
  <dc:description/>
  <cp:lastModifiedBy>gdaian</cp:lastModifiedBy>
  <cp:revision>14</cp:revision>
  <dcterms:created xsi:type="dcterms:W3CDTF">2017-07-21T03:02:00Z</dcterms:created>
  <dcterms:modified xsi:type="dcterms:W3CDTF">2017-07-25T02:12:00Z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0x0101009CA993A7338B81499AE2995CBFE1DB7A</vt:lpwstr>
  </property>
</Properties>
</file>