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8E9A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72B0F" w14:textId="77777777" w:rsidTr="00CA2922">
        <w:trPr>
          <w:tblHeader/>
        </w:trPr>
        <w:tc>
          <w:tcPr>
            <w:tcW w:w="2689" w:type="dxa"/>
          </w:tcPr>
          <w:p w14:paraId="5BD8ECE8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056B6E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6E77B13E" w14:textId="77777777" w:rsidTr="00CA2922">
        <w:tc>
          <w:tcPr>
            <w:tcW w:w="2689" w:type="dxa"/>
          </w:tcPr>
          <w:p w14:paraId="333BBEF5" w14:textId="2A0C5591" w:rsidR="00F1480E" w:rsidRPr="00CC451E" w:rsidRDefault="00F1480E" w:rsidP="002A56DB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1619950C" w14:textId="1D6C506D" w:rsidR="00F1480E" w:rsidRPr="00CC451E" w:rsidRDefault="00F1480E" w:rsidP="002A56DB">
            <w:pPr>
              <w:pStyle w:val="SIText"/>
            </w:pPr>
            <w:r w:rsidRPr="00CC451E">
              <w:t xml:space="preserve">This version released with </w:t>
            </w:r>
            <w:r w:rsidR="00680C30">
              <w:t>FWP Forest and Wood Products</w:t>
            </w:r>
            <w:r w:rsidR="00680C30" w:rsidRPr="00CC451E">
              <w:t xml:space="preserve"> Training Package Version </w:t>
            </w:r>
            <w:r w:rsidR="00680C30">
              <w:t>2</w:t>
            </w:r>
            <w:r w:rsidR="00680C30" w:rsidRPr="00CC451E">
              <w:t>.</w:t>
            </w:r>
            <w:r w:rsidR="00680C30">
              <w:t>1</w:t>
            </w:r>
            <w:r w:rsidR="00680C30" w:rsidRPr="00CC451E">
              <w:t>.</w:t>
            </w:r>
          </w:p>
        </w:tc>
      </w:tr>
    </w:tbl>
    <w:p w14:paraId="00D7871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536A9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666906" w14:textId="3FE0453D" w:rsidR="00F1480E" w:rsidRPr="00923720" w:rsidRDefault="00E16E2D" w:rsidP="00923720">
            <w:pPr>
              <w:pStyle w:val="SIUNITCODE"/>
            </w:pPr>
            <w:r>
              <w:t>FWPCOT2</w:t>
            </w:r>
            <w:r w:rsidR="001401AD">
              <w:t>223</w:t>
            </w:r>
          </w:p>
        </w:tc>
        <w:tc>
          <w:tcPr>
            <w:tcW w:w="3604" w:type="pct"/>
            <w:shd w:val="clear" w:color="auto" w:fill="auto"/>
          </w:tcPr>
          <w:p w14:paraId="5ED80C0E" w14:textId="42ADEC53" w:rsidR="00F1480E" w:rsidRPr="00923720" w:rsidRDefault="00E16E2D" w:rsidP="00923720">
            <w:pPr>
              <w:pStyle w:val="SIUnittitle"/>
            </w:pPr>
            <w:r>
              <w:t>Segregate and sort</w:t>
            </w:r>
            <w:r w:rsidR="001401AD">
              <w:t xml:space="preserve"> logs</w:t>
            </w:r>
          </w:p>
        </w:tc>
      </w:tr>
      <w:tr w:rsidR="00F1480E" w:rsidRPr="00963A46" w14:paraId="67872C56" w14:textId="77777777" w:rsidTr="00CA2922">
        <w:tc>
          <w:tcPr>
            <w:tcW w:w="1396" w:type="pct"/>
            <w:shd w:val="clear" w:color="auto" w:fill="auto"/>
          </w:tcPr>
          <w:p w14:paraId="182C5C0D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78D41F9B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2C7968" w14:textId="77777777" w:rsidR="00680C30" w:rsidRPr="00923720" w:rsidRDefault="00680C30" w:rsidP="00680C30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segregate and sort logs in a commercial forest harvesting environment or a timber processing plant, in line with specified quality characteristics for the best end-usage. </w:t>
            </w:r>
          </w:p>
          <w:p w14:paraId="4D3A4201" w14:textId="77777777" w:rsidR="00680C30" w:rsidRDefault="00680C30" w:rsidP="00680C30">
            <w:pPr>
              <w:pStyle w:val="SIText"/>
              <w:spacing w:after="120"/>
            </w:pPr>
            <w:r w:rsidRPr="00923720">
              <w:t xml:space="preserve">The unit applies to </w:t>
            </w:r>
            <w:r w:rsidRPr="00F32D89">
              <w:t xml:space="preserve">individuals who </w:t>
            </w:r>
            <w:r>
              <w:t>segregate and sort logs at the roadside, landing area or timber mill</w:t>
            </w:r>
            <w:r w:rsidRPr="00F32D89">
              <w:t>.</w:t>
            </w:r>
            <w:r>
              <w:t xml:space="preserve"> Operators generally work under broad direction and take responsibility for their work.</w:t>
            </w:r>
          </w:p>
          <w:p w14:paraId="59CEA46F" w14:textId="725E4FB2" w:rsidR="00F1480E" w:rsidRPr="00FB232E" w:rsidRDefault="00680C30" w:rsidP="00910B41">
            <w:pPr>
              <w:pStyle w:val="SIText"/>
              <w:rPr>
                <w:color w:val="00B050"/>
              </w:rPr>
            </w:pPr>
            <w:r>
              <w:t xml:space="preserve">Work health and safety legislation and environment protection legislation applies to workers in the forest harvesting industry. Requirements vary between state </w:t>
            </w:r>
            <w:r w:rsidR="00910B41">
              <w:t>and</w:t>
            </w:r>
            <w:r>
              <w:t xml:space="preserve"> territory jurisdictions.</w:t>
            </w:r>
            <w:r w:rsidR="00910B41">
              <w:t xml:space="preserve"> Users are advised to check with the relevant regulatory authority.</w:t>
            </w:r>
          </w:p>
        </w:tc>
      </w:tr>
      <w:tr w:rsidR="00F1480E" w:rsidRPr="00963A46" w14:paraId="032528AA" w14:textId="77777777" w:rsidTr="00CA2922">
        <w:tc>
          <w:tcPr>
            <w:tcW w:w="1396" w:type="pct"/>
            <w:shd w:val="clear" w:color="auto" w:fill="auto"/>
          </w:tcPr>
          <w:p w14:paraId="47BCBC4E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90C6BE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29720D6D" w14:textId="77777777" w:rsidTr="00CA2922">
        <w:tc>
          <w:tcPr>
            <w:tcW w:w="1396" w:type="pct"/>
            <w:shd w:val="clear" w:color="auto" w:fill="auto"/>
          </w:tcPr>
          <w:p w14:paraId="4395B9BB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0308B6" w14:textId="0C8022FA" w:rsidR="00F1480E" w:rsidRPr="008908DE" w:rsidRDefault="003F3E4B" w:rsidP="003F3E4B">
            <w:pPr>
              <w:pStyle w:val="SIText"/>
            </w:pPr>
            <w:r>
              <w:t>Core Technical</w:t>
            </w:r>
            <w:r w:rsidR="00F1480E" w:rsidRPr="008908DE">
              <w:t xml:space="preserve"> (</w:t>
            </w:r>
            <w:r>
              <w:t>COT</w:t>
            </w:r>
            <w:r w:rsidR="00F1480E" w:rsidRPr="008908DE">
              <w:t>)</w:t>
            </w:r>
          </w:p>
        </w:tc>
      </w:tr>
    </w:tbl>
    <w:p w14:paraId="1779EA3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9DCAA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1BDF42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50AA30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B7BEE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7452FE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5A0AA72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A59B6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2304C0" w14:textId="10292F9C" w:rsidR="00F1480E" w:rsidRPr="008908DE" w:rsidRDefault="00F1480E" w:rsidP="00446738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922D02">
              <w:t xml:space="preserve">Prepare to </w:t>
            </w:r>
            <w:r w:rsidR="00E16E2D">
              <w:t>segregate and sort logs</w:t>
            </w:r>
          </w:p>
        </w:tc>
        <w:tc>
          <w:tcPr>
            <w:tcW w:w="3604" w:type="pct"/>
            <w:shd w:val="clear" w:color="auto" w:fill="auto"/>
          </w:tcPr>
          <w:p w14:paraId="2FC4B5CA" w14:textId="3F767267" w:rsidR="00B630CB" w:rsidRDefault="00B630CB" w:rsidP="00B630CB">
            <w:pPr>
              <w:pStyle w:val="SIText"/>
              <w:widowControl w:val="0"/>
            </w:pPr>
            <w:r>
              <w:rPr>
                <w:color w:val="000000"/>
              </w:rPr>
              <w:t xml:space="preserve">1.1 Confirm, identify and report health, safety, environmental and heritage risks </w:t>
            </w:r>
            <w:r w:rsidRPr="00EB49CE">
              <w:t>of operation</w:t>
            </w:r>
            <w:r w:rsidR="00102DE3">
              <w:t xml:space="preserve">, </w:t>
            </w:r>
            <w:r w:rsidR="00102DE3">
              <w:t>in line with standard operating procedures and site safety management plan</w:t>
            </w:r>
            <w:r>
              <w:rPr>
                <w:color w:val="000000"/>
              </w:rPr>
              <w:t xml:space="preserve"> </w:t>
            </w:r>
          </w:p>
          <w:p w14:paraId="287EDE33" w14:textId="77777777" w:rsidR="00B630CB" w:rsidRPr="004E4549" w:rsidRDefault="00B630CB" w:rsidP="00B630CB">
            <w:pPr>
              <w:pStyle w:val="SIText"/>
              <w:widowControl w:val="0"/>
            </w:pPr>
            <w:r>
              <w:t xml:space="preserve">1.2 Apply risk control measures </w:t>
            </w:r>
            <w:r w:rsidRPr="00EB49CE">
              <w:t>and emergency proced</w:t>
            </w:r>
            <w:bookmarkStart w:id="0" w:name="_GoBack"/>
            <w:bookmarkEnd w:id="0"/>
            <w:r w:rsidRPr="00EB49CE">
              <w:t>ures</w:t>
            </w:r>
            <w:r>
              <w:t>, in line with standard operating procedures,</w:t>
            </w:r>
            <w:r w:rsidRPr="00EB49CE">
              <w:t xml:space="preserve"> </w:t>
            </w:r>
            <w:r>
              <w:t xml:space="preserve">site operational plan, </w:t>
            </w:r>
            <w:r w:rsidRPr="00EB49CE">
              <w:t>legislative requirements and industry standards</w:t>
            </w:r>
            <w:r>
              <w:t>,</w:t>
            </w:r>
            <w:r w:rsidRPr="00EB49CE">
              <w:t xml:space="preserve"> to eliminate or minimise risks </w:t>
            </w:r>
          </w:p>
          <w:p w14:paraId="2085BD19" w14:textId="77777777" w:rsidR="00680C30" w:rsidRDefault="00680C30" w:rsidP="00680C30">
            <w:pPr>
              <w:pStyle w:val="SIText"/>
            </w:pPr>
            <w:r>
              <w:t>1.3 Confirm specifications for species, product usage and size</w:t>
            </w:r>
          </w:p>
          <w:p w14:paraId="45B42BD1" w14:textId="77777777" w:rsidR="00680C30" w:rsidRPr="002A6F21" w:rsidRDefault="00680C30" w:rsidP="00680C30">
            <w:pPr>
              <w:pStyle w:val="SIText"/>
            </w:pPr>
            <w:r w:rsidRPr="002A6F21">
              <w:t>1.</w:t>
            </w:r>
            <w:r>
              <w:t>4</w:t>
            </w:r>
            <w:r w:rsidRPr="002A6F21">
              <w:t xml:space="preserve"> Select appropriate </w:t>
            </w:r>
            <w:r>
              <w:t>log size measuring tools</w:t>
            </w:r>
            <w:r w:rsidRPr="002A6F21">
              <w:t xml:space="preserve"> and calibration</w:t>
            </w:r>
            <w:r>
              <w:t xml:space="preserve"> methods</w:t>
            </w:r>
          </w:p>
          <w:p w14:paraId="2C01D28F" w14:textId="77777777" w:rsidR="00680C30" w:rsidRDefault="00680C30" w:rsidP="00680C30">
            <w:pPr>
              <w:pStyle w:val="SIText"/>
            </w:pPr>
            <w:r>
              <w:t>1.5</w:t>
            </w:r>
            <w:r w:rsidRPr="002A6F21">
              <w:t xml:space="preserve"> </w:t>
            </w:r>
            <w:r>
              <w:t>C</w:t>
            </w:r>
            <w:r w:rsidRPr="002A6F21">
              <w:t>alibrat</w:t>
            </w:r>
            <w:r>
              <w:t>e log</w:t>
            </w:r>
            <w:r w:rsidRPr="002A6F21">
              <w:t xml:space="preserve"> measuring </w:t>
            </w:r>
            <w:r>
              <w:t>tools</w:t>
            </w:r>
            <w:r w:rsidRPr="002A6F21">
              <w:t xml:space="preserve"> to ensure accuracy of </w:t>
            </w:r>
            <w:r>
              <w:t xml:space="preserve">length and diameter </w:t>
            </w:r>
            <w:r w:rsidRPr="002A6F21">
              <w:t>measurements</w:t>
            </w:r>
          </w:p>
          <w:p w14:paraId="584DC3B4" w14:textId="5CF7856C" w:rsidR="00F1480E" w:rsidRPr="008908DE" w:rsidRDefault="00680C30" w:rsidP="00680C30">
            <w:pPr>
              <w:pStyle w:val="SIText"/>
            </w:pPr>
            <w:r>
              <w:t>1.6 Confirm production plan targets and assess wood flow requirements, to ensure efficient operations and overall productivity</w:t>
            </w:r>
          </w:p>
        </w:tc>
      </w:tr>
      <w:tr w:rsidR="00F1480E" w:rsidRPr="00963A46" w14:paraId="665B5BB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C47583" w14:textId="6233D95C" w:rsidR="00F1480E" w:rsidRPr="008908DE" w:rsidRDefault="00F1480E" w:rsidP="00E16E2D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E16E2D">
              <w:t>Segregate and sort logs</w:t>
            </w:r>
            <w:r w:rsidR="00922D02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83854F4" w14:textId="77777777" w:rsidR="00680C30" w:rsidRDefault="00680C30" w:rsidP="00680C30">
            <w:pPr>
              <w:pStyle w:val="SIText"/>
            </w:pPr>
            <w:r>
              <w:t xml:space="preserve">2.1 Visually assess and measure logs for size, species and quality characteristics, to determine their best end-use, in line with product specifications, </w:t>
            </w:r>
            <w:r w:rsidRPr="00F3483E">
              <w:t xml:space="preserve">and </w:t>
            </w:r>
            <w:r>
              <w:t xml:space="preserve">identify </w:t>
            </w:r>
            <w:r w:rsidRPr="00F3483E">
              <w:t>logs which are to be recovered</w:t>
            </w:r>
          </w:p>
          <w:p w14:paraId="241FFFF1" w14:textId="77777777" w:rsidR="00680C30" w:rsidRPr="003B3EFD" w:rsidRDefault="00680C30" w:rsidP="00680C30">
            <w:pPr>
              <w:pStyle w:val="SIText"/>
              <w:rPr>
                <w:rFonts w:cstheme="minorHAnsi"/>
                <w:lang w:eastAsia="en-AU"/>
              </w:rPr>
            </w:pPr>
            <w:r>
              <w:t>2.2 Mark and report logs that cannot be clearly and safely assessed</w:t>
            </w:r>
          </w:p>
          <w:p w14:paraId="7AAA7838" w14:textId="77777777" w:rsidR="00680C30" w:rsidRDefault="00680C30" w:rsidP="00680C30">
            <w:pPr>
              <w:pStyle w:val="SIText"/>
            </w:pPr>
            <w:r>
              <w:t>2.3</w:t>
            </w:r>
            <w:r w:rsidRPr="00C30AC5">
              <w:t xml:space="preserve"> </w:t>
            </w:r>
            <w:r>
              <w:t xml:space="preserve">Direct mechanical equipment to extract specified logs from the stack and </w:t>
            </w:r>
            <w:r>
              <w:rPr>
                <w:rFonts w:cs="Arial"/>
                <w:color w:val="000000"/>
              </w:rPr>
              <w:t xml:space="preserve">segregate them by </w:t>
            </w:r>
            <w:r>
              <w:t>specified product usage</w:t>
            </w:r>
          </w:p>
          <w:p w14:paraId="78D2FAF8" w14:textId="77777777" w:rsidR="00680C30" w:rsidRDefault="00680C30" w:rsidP="00680C30">
            <w:pPr>
              <w:pStyle w:val="SIText"/>
            </w:pPr>
            <w:r>
              <w:t xml:space="preserve">2.4 Assist log positioning and segregation into end-use </w:t>
            </w:r>
            <w:r w:rsidRPr="00C30AC5">
              <w:t>stacks</w:t>
            </w:r>
            <w:r>
              <w:t>,</w:t>
            </w:r>
            <w:r w:rsidRPr="00F4075C">
              <w:t xml:space="preserve"> </w:t>
            </w:r>
            <w:r>
              <w:t xml:space="preserve">to avoid log damage, </w:t>
            </w:r>
            <w:r w:rsidRPr="00C30AC5">
              <w:t>provide stability</w:t>
            </w:r>
            <w:r>
              <w:t>, restrict height for efficient extraction and allow</w:t>
            </w:r>
            <w:r w:rsidRPr="00C30AC5">
              <w:t xml:space="preserve"> space for the conduct of other operations</w:t>
            </w:r>
            <w:r>
              <w:t>,</w:t>
            </w:r>
            <w:r w:rsidRPr="00C30AC5">
              <w:t xml:space="preserve"> in line with planned </w:t>
            </w:r>
            <w:r>
              <w:t xml:space="preserve">worksite </w:t>
            </w:r>
            <w:r w:rsidRPr="00C30AC5">
              <w:t>layout</w:t>
            </w:r>
          </w:p>
          <w:p w14:paraId="50F2FB65" w14:textId="77777777" w:rsidR="00680C30" w:rsidRDefault="00680C30" w:rsidP="00680C30">
            <w:pPr>
              <w:pStyle w:val="SIText"/>
            </w:pPr>
            <w:r>
              <w:t>2</w:t>
            </w:r>
            <w:r w:rsidRPr="00C30AC5">
              <w:t>.</w:t>
            </w:r>
            <w:r>
              <w:t>5</w:t>
            </w:r>
            <w:r w:rsidRPr="00C30AC5">
              <w:t xml:space="preserve"> </w:t>
            </w:r>
            <w:r>
              <w:t>Ensure stacks are t</w:t>
            </w:r>
            <w:r w:rsidRPr="00A4088E">
              <w:t>ag</w:t>
            </w:r>
            <w:r>
              <w:t>ged</w:t>
            </w:r>
            <w:r w:rsidRPr="00A4088E">
              <w:t xml:space="preserve"> </w:t>
            </w:r>
            <w:r>
              <w:t xml:space="preserve">for </w:t>
            </w:r>
            <w:r w:rsidRPr="00A4088E">
              <w:t>identification</w:t>
            </w:r>
            <w:r>
              <w:t>, in line with industry standards and production plan requirements</w:t>
            </w:r>
          </w:p>
          <w:p w14:paraId="253466E0" w14:textId="14A342E9" w:rsidR="00FB1ABD" w:rsidRPr="008908DE" w:rsidRDefault="00680C30" w:rsidP="00680C30">
            <w:pPr>
              <w:pStyle w:val="SIText"/>
            </w:pPr>
            <w:r>
              <w:t>2.6 Record and report measurements and sorting outcomes</w:t>
            </w:r>
          </w:p>
        </w:tc>
      </w:tr>
    </w:tbl>
    <w:p w14:paraId="5CE1D1C2" w14:textId="77777777" w:rsidR="00F1480E" w:rsidRDefault="00F1480E" w:rsidP="00F1480E">
      <w:pPr>
        <w:pStyle w:val="SIText"/>
      </w:pPr>
    </w:p>
    <w:p w14:paraId="1495DBD9" w14:textId="77777777" w:rsidR="00E9199A" w:rsidRDefault="00E9199A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E9199A" w:rsidRPr="00336FCA" w:rsidDel="00423CB2" w14:paraId="2F26333B" w14:textId="77777777" w:rsidTr="00573708">
        <w:trPr>
          <w:tblHeader/>
        </w:trPr>
        <w:tc>
          <w:tcPr>
            <w:tcW w:w="5000" w:type="pct"/>
            <w:gridSpan w:val="2"/>
          </w:tcPr>
          <w:p w14:paraId="4F78CFD6" w14:textId="77777777" w:rsidR="00E9199A" w:rsidRPr="00041E59" w:rsidRDefault="00E9199A" w:rsidP="00573708">
            <w:pPr>
              <w:pStyle w:val="SIHeading2"/>
            </w:pPr>
            <w:r w:rsidRPr="00041E59">
              <w:lastRenderedPageBreak/>
              <w:t>Foundation Skills</w:t>
            </w:r>
          </w:p>
          <w:p w14:paraId="68CA2CD1" w14:textId="77777777" w:rsidR="00E9199A" w:rsidRPr="00634FCA" w:rsidRDefault="00E9199A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E9199A" w:rsidRPr="00336FCA" w:rsidDel="00423CB2" w14:paraId="00251175" w14:textId="77777777" w:rsidTr="00573708">
        <w:trPr>
          <w:tblHeader/>
        </w:trPr>
        <w:tc>
          <w:tcPr>
            <w:tcW w:w="1396" w:type="pct"/>
          </w:tcPr>
          <w:p w14:paraId="67882816" w14:textId="77777777" w:rsidR="00E9199A" w:rsidRPr="00FD557D" w:rsidDel="00423CB2" w:rsidRDefault="00E9199A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76C309" w14:textId="77777777" w:rsidR="00E9199A" w:rsidRPr="00FD557D" w:rsidDel="00423CB2" w:rsidRDefault="00E9199A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E9199A" w:rsidRPr="00336FCA" w:rsidDel="00423CB2" w14:paraId="1D5D7A4C" w14:textId="77777777" w:rsidTr="00573708">
        <w:tc>
          <w:tcPr>
            <w:tcW w:w="1396" w:type="pct"/>
          </w:tcPr>
          <w:p w14:paraId="291B593F" w14:textId="77777777" w:rsidR="00E9199A" w:rsidRPr="00923720" w:rsidRDefault="00E9199A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193B9205" w14:textId="3DA1682A" w:rsidR="00E9199A" w:rsidRPr="00BB081E" w:rsidRDefault="00E9199A" w:rsidP="00E9199A">
            <w:pPr>
              <w:pStyle w:val="SIBulletList1"/>
            </w:pPr>
            <w:r w:rsidRPr="00BB081E">
              <w:rPr>
                <w:rFonts w:eastAsia="Calibri"/>
              </w:rPr>
              <w:t xml:space="preserve">use observable data and </w:t>
            </w:r>
            <w:r>
              <w:rPr>
                <w:rFonts w:eastAsia="Calibri"/>
              </w:rPr>
              <w:t>product specifications</w:t>
            </w:r>
            <w:r w:rsidRPr="00BB081E">
              <w:rPr>
                <w:rFonts w:eastAsia="Calibri"/>
              </w:rPr>
              <w:t xml:space="preserve"> to determine an outcome about the suitability of a log for a specific purpose</w:t>
            </w:r>
          </w:p>
        </w:tc>
      </w:tr>
      <w:tr w:rsidR="00E9199A" w:rsidRPr="00336FCA" w:rsidDel="00423CB2" w14:paraId="37C7BDF5" w14:textId="77777777" w:rsidTr="00573708">
        <w:tc>
          <w:tcPr>
            <w:tcW w:w="1396" w:type="pct"/>
          </w:tcPr>
          <w:p w14:paraId="26297D18" w14:textId="77777777" w:rsidR="00E9199A" w:rsidRPr="00923720" w:rsidRDefault="00E9199A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0B0C023" w14:textId="6B0B776A" w:rsidR="00E9199A" w:rsidRPr="00BB081E" w:rsidRDefault="00E9199A" w:rsidP="00E9199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 xml:space="preserve">production, </w:t>
            </w:r>
            <w:r w:rsidRPr="00A30FCA">
              <w:t>safety and environmental management plan</w:t>
            </w:r>
            <w:r>
              <w:t>s</w:t>
            </w:r>
            <w:r w:rsidRPr="00BB081E">
              <w:rPr>
                <w:rFonts w:eastAsia="Calibri"/>
              </w:rPr>
              <w:t xml:space="preserve">, product specifications and industry standards for </w:t>
            </w:r>
            <w:r>
              <w:rPr>
                <w:rFonts w:eastAsia="Calibri"/>
              </w:rPr>
              <w:t>log segregation and presentation</w:t>
            </w:r>
          </w:p>
        </w:tc>
      </w:tr>
      <w:tr w:rsidR="00E9199A" w:rsidRPr="00336FCA" w:rsidDel="00423CB2" w14:paraId="207A2E65" w14:textId="77777777" w:rsidTr="00573708">
        <w:tc>
          <w:tcPr>
            <w:tcW w:w="1396" w:type="pct"/>
          </w:tcPr>
          <w:p w14:paraId="04CF1F2C" w14:textId="77777777" w:rsidR="00E9199A" w:rsidRPr="00923720" w:rsidRDefault="00E9199A" w:rsidP="0057370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8EB932F" w14:textId="1C58C186" w:rsidR="00E9199A" w:rsidRPr="00BB081E" w:rsidRDefault="00E9199A" w:rsidP="00E9199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record information a</w:t>
            </w:r>
            <w:r>
              <w:rPr>
                <w:rFonts w:eastAsia="Calibri"/>
              </w:rPr>
              <w:t>bout logs that cannot be graded</w:t>
            </w:r>
            <w:r w:rsidRPr="00BB081E">
              <w:rPr>
                <w:rFonts w:eastAsia="Calibri"/>
              </w:rPr>
              <w:t xml:space="preserve">         </w:t>
            </w:r>
          </w:p>
        </w:tc>
      </w:tr>
      <w:tr w:rsidR="00E9199A" w:rsidRPr="00336FCA" w:rsidDel="00423CB2" w14:paraId="7A4A1747" w14:textId="77777777" w:rsidTr="00573708">
        <w:tc>
          <w:tcPr>
            <w:tcW w:w="1396" w:type="pct"/>
          </w:tcPr>
          <w:p w14:paraId="0A5294A3" w14:textId="77777777" w:rsidR="00E9199A" w:rsidRPr="00923720" w:rsidRDefault="00E9199A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EA1EFF1" w14:textId="7F3BF1CD" w:rsidR="00E9199A" w:rsidRDefault="00E9199A" w:rsidP="00E9199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interact verbally with </w:t>
            </w:r>
            <w:r>
              <w:rPr>
                <w:rFonts w:eastAsia="Calibri"/>
              </w:rPr>
              <w:t xml:space="preserve">machine operators </w:t>
            </w:r>
            <w:r w:rsidRPr="00BB081E">
              <w:rPr>
                <w:rFonts w:eastAsia="Calibri"/>
              </w:rPr>
              <w:t>on site to</w:t>
            </w:r>
            <w:r>
              <w:rPr>
                <w:rFonts w:eastAsia="Calibri"/>
              </w:rPr>
              <w:t xml:space="preserve"> create log stacks</w:t>
            </w:r>
          </w:p>
          <w:p w14:paraId="1D1CF0AE" w14:textId="5BF5054E" w:rsidR="00E9199A" w:rsidRPr="00BB081E" w:rsidRDefault="00E9199A" w:rsidP="00E9199A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 xml:space="preserve">reach agreement </w:t>
            </w:r>
            <w:r>
              <w:rPr>
                <w:rFonts w:eastAsia="Calibri"/>
              </w:rPr>
              <w:t xml:space="preserve">to confirm </w:t>
            </w:r>
            <w:r w:rsidRPr="00BB081E">
              <w:rPr>
                <w:rFonts w:eastAsia="Calibri"/>
              </w:rPr>
              <w:t xml:space="preserve">how logs should be </w:t>
            </w:r>
            <w:r>
              <w:rPr>
                <w:rFonts w:eastAsia="Calibri"/>
              </w:rPr>
              <w:t>segregated and seek assistance where necessary</w:t>
            </w:r>
            <w:r w:rsidRPr="00BB081E">
              <w:rPr>
                <w:rFonts w:eastAsia="Calibri"/>
              </w:rPr>
              <w:t xml:space="preserve"> </w:t>
            </w:r>
          </w:p>
        </w:tc>
      </w:tr>
      <w:tr w:rsidR="00E9199A" w:rsidRPr="00336FCA" w:rsidDel="00423CB2" w14:paraId="3017B51D" w14:textId="77777777" w:rsidTr="00573708">
        <w:tc>
          <w:tcPr>
            <w:tcW w:w="1396" w:type="pct"/>
          </w:tcPr>
          <w:p w14:paraId="076BF75B" w14:textId="77777777" w:rsidR="00E9199A" w:rsidRPr="00923720" w:rsidRDefault="00E9199A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3FD1B93" w14:textId="1B33FD11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count logs and determine log diameter</w:t>
            </w:r>
            <w:r>
              <w:rPr>
                <w:rFonts w:eastAsia="Calibri"/>
              </w:rPr>
              <w:t xml:space="preserve"> and length</w:t>
            </w:r>
          </w:p>
        </w:tc>
      </w:tr>
      <w:tr w:rsidR="00E9199A" w:rsidRPr="00336FCA" w:rsidDel="00423CB2" w14:paraId="32D2A353" w14:textId="77777777" w:rsidTr="00573708">
        <w:tc>
          <w:tcPr>
            <w:tcW w:w="1396" w:type="pct"/>
          </w:tcPr>
          <w:p w14:paraId="188BE3CB" w14:textId="77777777" w:rsidR="00E9199A" w:rsidRPr="00923720" w:rsidRDefault="00E9199A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9AE9672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t>identify and describe own skills, knowledge and experience within context of job role</w:t>
            </w:r>
          </w:p>
          <w:p w14:paraId="49CE79FE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t>understand main tasks, responsibilities and boundaries of own role</w:t>
            </w:r>
          </w:p>
          <w:p w14:paraId="112AD24E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t>calibrate and use log measuring tools according to workplace procedures</w:t>
            </w:r>
          </w:p>
        </w:tc>
      </w:tr>
      <w:tr w:rsidR="00E9199A" w:rsidRPr="00336FCA" w:rsidDel="00423CB2" w14:paraId="0D55EBF0" w14:textId="77777777" w:rsidTr="00573708">
        <w:tc>
          <w:tcPr>
            <w:tcW w:w="1396" w:type="pct"/>
          </w:tcPr>
          <w:p w14:paraId="55D06857" w14:textId="77777777" w:rsidR="00E9199A" w:rsidRPr="00923720" w:rsidRDefault="00E9199A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373FAC7F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appropriate vocabulary, including technical language directly relevant to role</w:t>
            </w:r>
          </w:p>
          <w:p w14:paraId="20C94447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use modes of communication suitable to purpose to confirm and clarify understanding</w:t>
            </w:r>
          </w:p>
          <w:p w14:paraId="644D1DD9" w14:textId="77777777" w:rsidR="00E9199A" w:rsidRPr="00E9199A" w:rsidRDefault="00E9199A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communicate and report log grading and safety information to relevant personnel</w:t>
            </w:r>
          </w:p>
          <w:p w14:paraId="7D7F07A9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E9199A"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E9199A" w:rsidRPr="00336FCA" w:rsidDel="00423CB2" w14:paraId="26C0A892" w14:textId="77777777" w:rsidTr="00573708">
        <w:tc>
          <w:tcPr>
            <w:tcW w:w="1396" w:type="pct"/>
          </w:tcPr>
          <w:p w14:paraId="34490E4F" w14:textId="77777777" w:rsidR="00E9199A" w:rsidRPr="00923720" w:rsidRDefault="00E9199A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1B6C869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rPr>
                <w:rFonts w:eastAsia="Calibri"/>
              </w:rPr>
              <w:t>recognise and respond to routine problems</w:t>
            </w:r>
          </w:p>
          <w:p w14:paraId="0C334A93" w14:textId="77777777" w:rsidR="00E9199A" w:rsidRPr="00BB081E" w:rsidRDefault="00E9199A" w:rsidP="00573708">
            <w:pPr>
              <w:pStyle w:val="SIBulletList1"/>
              <w:rPr>
                <w:rFonts w:eastAsia="Calibri"/>
              </w:rPr>
            </w:pPr>
            <w:r w:rsidRPr="00BB081E">
              <w:t>take responsibility for planning, sequencing and prioritising tasks and own workload for efficiency and effective outcomes</w:t>
            </w:r>
          </w:p>
        </w:tc>
      </w:tr>
    </w:tbl>
    <w:p w14:paraId="541FDFE2" w14:textId="77777777" w:rsidR="00E9199A" w:rsidRDefault="00E9199A" w:rsidP="00F1480E">
      <w:pPr>
        <w:pStyle w:val="SIText"/>
      </w:pPr>
    </w:p>
    <w:p w14:paraId="65DCC8F3" w14:textId="77777777" w:rsidR="00E9199A" w:rsidRDefault="00E9199A" w:rsidP="00F1480E">
      <w:pPr>
        <w:pStyle w:val="SIText"/>
      </w:pPr>
    </w:p>
    <w:p w14:paraId="62160909" w14:textId="77777777" w:rsidR="00E9199A" w:rsidRPr="00FE792C" w:rsidRDefault="00E9199A" w:rsidP="00F1480E">
      <w:pPr>
        <w:pStyle w:val="SIText"/>
      </w:pPr>
    </w:p>
    <w:p w14:paraId="74EC14E4" w14:textId="77777777" w:rsidR="00916CD7" w:rsidRDefault="00916CD7" w:rsidP="00F1480E">
      <w:pPr>
        <w:pStyle w:val="SIText"/>
        <w:keepNext/>
      </w:pPr>
    </w:p>
    <w:p w14:paraId="1FEA68BD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48BEC336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6246B0" w14:textId="77777777" w:rsidTr="00CA2922">
        <w:trPr>
          <w:tblHeader/>
        </w:trPr>
        <w:tc>
          <w:tcPr>
            <w:tcW w:w="5000" w:type="pct"/>
            <w:gridSpan w:val="4"/>
          </w:tcPr>
          <w:p w14:paraId="4022CEBF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6A75DA1B" w14:textId="77777777" w:rsidTr="00FD557D">
        <w:trPr>
          <w:tblHeader/>
        </w:trPr>
        <w:tc>
          <w:tcPr>
            <w:tcW w:w="1028" w:type="pct"/>
          </w:tcPr>
          <w:p w14:paraId="5F3E847C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6D6BE0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CD0609F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1176B2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3E19E2E" w14:textId="77777777" w:rsidTr="00FD557D">
        <w:tc>
          <w:tcPr>
            <w:tcW w:w="1028" w:type="pct"/>
          </w:tcPr>
          <w:p w14:paraId="35096FD6" w14:textId="77777777" w:rsidR="00680C30" w:rsidRPr="00680C30" w:rsidRDefault="00680C30" w:rsidP="00680C30">
            <w:pPr>
              <w:pStyle w:val="Header"/>
            </w:pPr>
            <w:r>
              <w:t>FWPCOT2223 Segregate and sort logs</w:t>
            </w:r>
          </w:p>
          <w:p w14:paraId="463D2715" w14:textId="595F388D" w:rsidR="00041E59" w:rsidRPr="00923720" w:rsidRDefault="00041E59" w:rsidP="00916CD7">
            <w:pPr>
              <w:pStyle w:val="SIText"/>
            </w:pPr>
          </w:p>
        </w:tc>
        <w:tc>
          <w:tcPr>
            <w:tcW w:w="1105" w:type="pct"/>
          </w:tcPr>
          <w:p w14:paraId="4F0E7957" w14:textId="77777777" w:rsidR="00680C30" w:rsidRPr="00680C30" w:rsidRDefault="00680C30" w:rsidP="00680C30">
            <w:pPr>
              <w:pStyle w:val="Header"/>
            </w:pPr>
            <w:r>
              <w:t>FWPCOT2223 Segregate and sort logs</w:t>
            </w:r>
          </w:p>
          <w:p w14:paraId="33113256" w14:textId="6F73F86E" w:rsidR="00041E59" w:rsidRPr="00BC49BB" w:rsidRDefault="00041E59" w:rsidP="00041E59">
            <w:pPr>
              <w:pStyle w:val="SIText"/>
            </w:pPr>
          </w:p>
        </w:tc>
        <w:tc>
          <w:tcPr>
            <w:tcW w:w="1251" w:type="pct"/>
          </w:tcPr>
          <w:p w14:paraId="35C4E1B0" w14:textId="2C2733BD" w:rsidR="00041E59" w:rsidRPr="00BC49BB" w:rsidRDefault="00910B41" w:rsidP="00041E59">
            <w:pPr>
              <w:pStyle w:val="SIText"/>
            </w:pPr>
            <w:r>
              <w:t>Additional Foundation skills identified. Minor changes to Performance Criteria, Performance Evidence and Knowledge Evidence</w:t>
            </w:r>
          </w:p>
        </w:tc>
        <w:tc>
          <w:tcPr>
            <w:tcW w:w="1616" w:type="pct"/>
          </w:tcPr>
          <w:p w14:paraId="5D12EB9C" w14:textId="3492D5BE" w:rsidR="00041E59" w:rsidRDefault="00916CD7" w:rsidP="00041E59">
            <w:pPr>
              <w:pStyle w:val="SIText"/>
            </w:pPr>
            <w:r>
              <w:t xml:space="preserve">Equivalent unit </w:t>
            </w:r>
          </w:p>
          <w:p w14:paraId="39E5B53C" w14:textId="77777777" w:rsidR="00916CD7" w:rsidRDefault="00916CD7" w:rsidP="00041E59">
            <w:pPr>
              <w:pStyle w:val="SIText"/>
            </w:pPr>
          </w:p>
          <w:p w14:paraId="46DC7E2F" w14:textId="001EA807" w:rsidR="00916CD7" w:rsidRPr="00BC49BB" w:rsidRDefault="00916CD7" w:rsidP="00041E59">
            <w:pPr>
              <w:pStyle w:val="SIText"/>
            </w:pPr>
          </w:p>
        </w:tc>
      </w:tr>
    </w:tbl>
    <w:p w14:paraId="517DFAA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02C5F903" w14:textId="77777777" w:rsidTr="00CA2922">
        <w:tc>
          <w:tcPr>
            <w:tcW w:w="1396" w:type="pct"/>
            <w:shd w:val="clear" w:color="auto" w:fill="auto"/>
          </w:tcPr>
          <w:p w14:paraId="69062F2F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2D4D1FB4" w14:textId="47CD9E46" w:rsidR="00F1480E" w:rsidRPr="00A76C6C" w:rsidRDefault="00A76C6C" w:rsidP="00A76C6C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BE3425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7FEE998A" w14:textId="77777777" w:rsidR="00F1480E" w:rsidRDefault="00F1480E" w:rsidP="00F1480E">
      <w:pPr>
        <w:pStyle w:val="SIText"/>
      </w:pPr>
    </w:p>
    <w:p w14:paraId="7F853ED7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35C8AAAD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0FFFE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489054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70D5CC6A" w14:textId="7FBBCE18" w:rsidR="00BE3425" w:rsidRPr="00F56827" w:rsidRDefault="00556C4C" w:rsidP="00BE3425">
            <w:pPr>
              <w:pStyle w:val="SIUnittitle"/>
            </w:pPr>
            <w:r w:rsidRPr="00F56827">
              <w:t xml:space="preserve">Assessment requirements for </w:t>
            </w:r>
            <w:r w:rsidR="00BE3425">
              <w:t>FWPCOT2223 Segregate and sort logs</w:t>
            </w:r>
          </w:p>
        </w:tc>
      </w:tr>
      <w:tr w:rsidR="00556C4C" w:rsidRPr="00A55106" w14:paraId="6AA365E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D95BCB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0C9570F3" w14:textId="77777777" w:rsidTr="00113678">
        <w:tc>
          <w:tcPr>
            <w:tcW w:w="5000" w:type="pct"/>
            <w:gridSpan w:val="2"/>
            <w:shd w:val="clear" w:color="auto" w:fill="auto"/>
          </w:tcPr>
          <w:p w14:paraId="65434DCE" w14:textId="77777777" w:rsidR="001E1972" w:rsidRDefault="006E42FE" w:rsidP="001E1972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1E1972">
              <w:t xml:space="preserve">There must be evidence that, on at least </w:t>
            </w:r>
            <w:r w:rsidR="001E1972" w:rsidRPr="001E1972">
              <w:t>one</w:t>
            </w:r>
            <w:r w:rsidRPr="001E1972">
              <w:t xml:space="preserve"> occasion, the individual has:</w:t>
            </w:r>
            <w:r w:rsidR="000E25E6" w:rsidRPr="001E1972">
              <w:t xml:space="preserve"> </w:t>
            </w:r>
          </w:p>
          <w:p w14:paraId="218D39A7" w14:textId="77777777" w:rsidR="001E1972" w:rsidRPr="009E79BB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safely and correctly assessed and measured </w:t>
            </w:r>
            <w:r w:rsidRPr="00FE39C9">
              <w:rPr>
                <w:rFonts w:eastAsia="Calibri"/>
              </w:rPr>
              <w:t>logs, for size, species and quality characteristics, for specified product usage</w:t>
            </w:r>
            <w:r>
              <w:rPr>
                <w:rFonts w:eastAsia="Calibri"/>
              </w:rPr>
              <w:t xml:space="preserve">, in line with a production plan </w:t>
            </w:r>
          </w:p>
          <w:p w14:paraId="41E986D2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checked risks associated to the operation and applied standard operating procedures</w:t>
            </w:r>
          </w:p>
          <w:p w14:paraId="36E6073F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used log measuring tools and methods to measure logs and logs defects</w:t>
            </w:r>
          </w:p>
          <w:p w14:paraId="31B0D760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applied knowledge of log species, log quality characteristics and defects</w:t>
            </w:r>
          </w:p>
          <w:p w14:paraId="68434F65" w14:textId="77777777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identified and assessed log defects</w:t>
            </w:r>
          </w:p>
          <w:p w14:paraId="7949C781" w14:textId="77777777" w:rsidR="001E1972" w:rsidRPr="00FE39C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assisted </w:t>
            </w:r>
            <w:r>
              <w:t xml:space="preserve">positioning and segregation of logs into end-use </w:t>
            </w:r>
            <w:r w:rsidRPr="00C30AC5">
              <w:t>stacks</w:t>
            </w:r>
            <w:r w:rsidRPr="00F4075C">
              <w:t xml:space="preserve"> </w:t>
            </w:r>
            <w:r>
              <w:t>for ensuring minimal log damage</w:t>
            </w:r>
            <w:r>
              <w:rPr>
                <w:rFonts w:eastAsia="Calibri"/>
              </w:rPr>
              <w:t xml:space="preserve"> and </w:t>
            </w:r>
            <w:r w:rsidRPr="00FE39C9">
              <w:rPr>
                <w:rFonts w:eastAsia="Calibri"/>
              </w:rPr>
              <w:t xml:space="preserve">efficient transportation and identification </w:t>
            </w:r>
          </w:p>
          <w:p w14:paraId="54278E93" w14:textId="1E779CB2" w:rsidR="00556C4C" w:rsidRPr="00B6509A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followed</w:t>
            </w:r>
            <w:proofErr w:type="gramEnd"/>
            <w:r>
              <w:rPr>
                <w:rFonts w:eastAsia="Calibri"/>
              </w:rPr>
              <w:t xml:space="preserve"> log product specifications and production plan requirements for sorting logs.</w:t>
            </w:r>
          </w:p>
        </w:tc>
      </w:tr>
    </w:tbl>
    <w:p w14:paraId="5C1AE20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50AEC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5F33BE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30921D63" w14:textId="77777777" w:rsidTr="00CA2922">
        <w:tc>
          <w:tcPr>
            <w:tcW w:w="5000" w:type="pct"/>
            <w:shd w:val="clear" w:color="auto" w:fill="auto"/>
          </w:tcPr>
          <w:p w14:paraId="0E3ED751" w14:textId="22C57D2A" w:rsidR="001E1972" w:rsidRDefault="001E1972" w:rsidP="001E1972">
            <w:pPr>
              <w:pStyle w:val="SIText"/>
              <w:rPr>
                <w:rFonts w:eastAsia="Calibri"/>
              </w:rPr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282BE0CF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typical information </w:t>
            </w:r>
            <w:r>
              <w:rPr>
                <w:rFonts w:eastAsia="Calibri"/>
              </w:rPr>
              <w:t>and requirements contained in log product specifications and a production plan</w:t>
            </w:r>
            <w:r w:rsidRPr="00D54F99">
              <w:rPr>
                <w:rFonts w:eastAsia="Calibri"/>
              </w:rPr>
              <w:t xml:space="preserve"> </w:t>
            </w:r>
          </w:p>
          <w:p w14:paraId="365C3C44" w14:textId="69E5C7B8" w:rsidR="001E1972" w:rsidRPr="003C4A74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3C4A74">
              <w:rPr>
                <w:rFonts w:eastAsia="Calibri"/>
              </w:rPr>
              <w:t>health and operational hazards or risks related to log segregation and sorting operations and factors that can change or introduce new hazards</w:t>
            </w:r>
          </w:p>
          <w:p w14:paraId="281C4DC4" w14:textId="44B8DBCC" w:rsidR="001E1972" w:rsidRP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B02030">
              <w:rPr>
                <w:rFonts w:eastAsia="Calibri"/>
              </w:rPr>
              <w:t xml:space="preserve">industry-accepted </w:t>
            </w:r>
            <w:r>
              <w:rPr>
                <w:rFonts w:eastAsia="Calibri"/>
              </w:rPr>
              <w:t xml:space="preserve">work health and safety </w:t>
            </w:r>
            <w:r w:rsidRPr="00B02030">
              <w:rPr>
                <w:rFonts w:eastAsia="Calibri"/>
              </w:rPr>
              <w:t xml:space="preserve">risk control measures </w:t>
            </w:r>
            <w:r>
              <w:t>legal obligations of the current Work Health and Safety Acts or Occupational Health and Safety Acts and regulations, and requirements of industry standards and/or codes of practice for log segregation and sorting operations, as outlined in organisational procedures and production plan</w:t>
            </w:r>
          </w:p>
          <w:p w14:paraId="0B80D918" w14:textId="4D462AB3" w:rsidR="001E1972" w:rsidRPr="00E472CD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E472CD">
              <w:rPr>
                <w:rFonts w:eastAsia="Calibri"/>
              </w:rPr>
              <w:t>industry-accepted warning signs</w:t>
            </w:r>
            <w:r w:rsidR="003F3E4B">
              <w:rPr>
                <w:rFonts w:eastAsia="Calibri"/>
              </w:rPr>
              <w:t>, their correct positioning</w:t>
            </w:r>
            <w:r w:rsidRPr="00E472CD">
              <w:rPr>
                <w:rFonts w:eastAsia="Calibri"/>
              </w:rPr>
              <w:t xml:space="preserve"> and procedures to maintain communication and work safety </w:t>
            </w:r>
          </w:p>
          <w:p w14:paraId="6A70AF4A" w14:textId="5306349F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industry-accepted environmental control measures, restrictions, legal obligations </w:t>
            </w:r>
            <w:r w:rsidRPr="00E472CD">
              <w:rPr>
                <w:rFonts w:eastAsia="Calibri"/>
              </w:rPr>
              <w:t xml:space="preserve"> of current Environment Protection Acts</w:t>
            </w:r>
            <w:r>
              <w:rPr>
                <w:rFonts w:eastAsia="Calibri"/>
              </w:rPr>
              <w:t xml:space="preserve"> and</w:t>
            </w:r>
            <w:r w:rsidRPr="00E472CD">
              <w:rPr>
                <w:rFonts w:eastAsia="Calibri"/>
              </w:rPr>
              <w:t xml:space="preserve"> regulations and </w:t>
            </w:r>
            <w:r>
              <w:rPr>
                <w:rFonts w:eastAsia="Calibri"/>
              </w:rPr>
              <w:t xml:space="preserve">requirements of </w:t>
            </w:r>
            <w:r w:rsidRPr="00E472CD">
              <w:rPr>
                <w:rFonts w:eastAsia="Calibri"/>
              </w:rPr>
              <w:t>industry standards and/or codes of practice</w:t>
            </w:r>
            <w:r>
              <w:rPr>
                <w:rFonts w:eastAsia="Calibri"/>
              </w:rPr>
              <w:t xml:space="preserve"> for log segregation and sorting operations, </w:t>
            </w:r>
            <w:r>
              <w:t>as outlined in organisational procedures and production plan</w:t>
            </w:r>
            <w:r w:rsidRPr="00D54F99">
              <w:rPr>
                <w:rFonts w:eastAsia="Calibri"/>
              </w:rPr>
              <w:t xml:space="preserve"> </w:t>
            </w:r>
          </w:p>
          <w:p w14:paraId="5B11FDB9" w14:textId="1349853F" w:rsidR="001E1972" w:rsidRPr="001E1972" w:rsidRDefault="001E1972" w:rsidP="00E67061">
            <w:pPr>
              <w:pStyle w:val="SIBulletList1"/>
              <w:ind w:left="360"/>
              <w:rPr>
                <w:rFonts w:eastAsia="Calibri"/>
              </w:rPr>
            </w:pPr>
            <w:r w:rsidRPr="001E1972">
              <w:rPr>
                <w:rFonts w:eastAsia="Calibri"/>
              </w:rPr>
              <w:t>log species, quality characteristics and</w:t>
            </w:r>
            <w:r>
              <w:rPr>
                <w:rFonts w:eastAsia="Calibri"/>
              </w:rPr>
              <w:t xml:space="preserve"> </w:t>
            </w:r>
            <w:r w:rsidRPr="001E1972">
              <w:rPr>
                <w:rFonts w:eastAsia="Calibri"/>
              </w:rPr>
              <w:t xml:space="preserve">log defects particular to the site and production system </w:t>
            </w:r>
          </w:p>
          <w:p w14:paraId="5C3F8A82" w14:textId="43F10B0F" w:rsidR="001E1972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regional quality requirements for log products with particular end uses</w:t>
            </w:r>
            <w:r w:rsidR="00910B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markets</w:t>
            </w:r>
            <w:r w:rsidR="00910B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values</w:t>
            </w:r>
          </w:p>
          <w:p w14:paraId="0CB17EF0" w14:textId="5271BD4D" w:rsidR="001E1972" w:rsidRPr="003C4A74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3C4A74">
              <w:rPr>
                <w:rFonts w:eastAsia="Calibri"/>
              </w:rPr>
              <w:t xml:space="preserve">maximum log damage </w:t>
            </w:r>
            <w:r w:rsidR="00910B41">
              <w:rPr>
                <w:rFonts w:eastAsia="Calibri"/>
              </w:rPr>
              <w:t>or</w:t>
            </w:r>
            <w:r w:rsidRPr="003C4A74">
              <w:rPr>
                <w:rFonts w:eastAsia="Calibri"/>
              </w:rPr>
              <w:t xml:space="preserve"> defect allowance</w:t>
            </w:r>
            <w:r>
              <w:rPr>
                <w:rFonts w:eastAsia="Calibri"/>
              </w:rPr>
              <w:t xml:space="preserve"> and </w:t>
            </w:r>
            <w:r w:rsidRPr="003C4A74">
              <w:rPr>
                <w:rFonts w:eastAsia="Calibri"/>
              </w:rPr>
              <w:t xml:space="preserve">minimum quality allowance </w:t>
            </w:r>
            <w:r>
              <w:rPr>
                <w:rFonts w:eastAsia="Calibri"/>
              </w:rPr>
              <w:t>particular to a production system</w:t>
            </w:r>
          </w:p>
          <w:p w14:paraId="105F6B46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criteria for recycling and re-using logs with significant defects</w:t>
            </w:r>
          </w:p>
          <w:p w14:paraId="37A304BE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log measuring tools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for</w:t>
            </w:r>
            <w:r w:rsidRPr="00D54F9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length and diameter measurements </w:t>
            </w:r>
            <w:r w:rsidRPr="00D54F99">
              <w:rPr>
                <w:rFonts w:eastAsia="Calibri"/>
              </w:rPr>
              <w:t xml:space="preserve"> </w:t>
            </w:r>
          </w:p>
          <w:p w14:paraId="03F9BC3A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methods for </w:t>
            </w:r>
            <w:r w:rsidRPr="00D54F99">
              <w:rPr>
                <w:rFonts w:eastAsia="Calibri"/>
              </w:rPr>
              <w:t>calibrati</w:t>
            </w:r>
            <w:r>
              <w:rPr>
                <w:rFonts w:eastAsia="Calibri"/>
              </w:rPr>
              <w:t xml:space="preserve">ng and </w:t>
            </w:r>
            <w:r w:rsidRPr="00D54F99">
              <w:rPr>
                <w:rFonts w:eastAsia="Calibri"/>
              </w:rPr>
              <w:t>verif</w:t>
            </w:r>
            <w:r>
              <w:rPr>
                <w:rFonts w:eastAsia="Calibri"/>
              </w:rPr>
              <w:t>ying log</w:t>
            </w:r>
            <w:r w:rsidRPr="00D54F99">
              <w:rPr>
                <w:rFonts w:eastAsia="Calibri"/>
              </w:rPr>
              <w:t xml:space="preserve"> measuring </w:t>
            </w:r>
            <w:r>
              <w:rPr>
                <w:rFonts w:eastAsia="Calibri"/>
              </w:rPr>
              <w:t>tools</w:t>
            </w:r>
          </w:p>
          <w:p w14:paraId="1EB6B053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>techniques</w:t>
            </w:r>
            <w:r>
              <w:rPr>
                <w:rFonts w:eastAsia="Calibri"/>
              </w:rPr>
              <w:t xml:space="preserve"> and methods for measuring log </w:t>
            </w:r>
            <w:r w:rsidRPr="00D54F99">
              <w:rPr>
                <w:rFonts w:eastAsia="Calibri"/>
              </w:rPr>
              <w:t xml:space="preserve">diameter and length using standard </w:t>
            </w:r>
            <w:r>
              <w:rPr>
                <w:rFonts w:eastAsia="Calibri"/>
              </w:rPr>
              <w:t>and</w:t>
            </w:r>
            <w:r w:rsidRPr="00D54F99">
              <w:rPr>
                <w:rFonts w:eastAsia="Calibri"/>
              </w:rPr>
              <w:t xml:space="preserve"> digital </w:t>
            </w:r>
            <w:r>
              <w:rPr>
                <w:rFonts w:eastAsia="Calibri"/>
              </w:rPr>
              <w:t>tools</w:t>
            </w:r>
          </w:p>
          <w:p w14:paraId="61971CEB" w14:textId="77777777" w:rsidR="001E1972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D54F99">
              <w:rPr>
                <w:rFonts w:eastAsia="Calibri"/>
              </w:rPr>
              <w:t xml:space="preserve">causes of manual </w:t>
            </w:r>
            <w:r>
              <w:rPr>
                <w:rFonts w:eastAsia="Calibri"/>
              </w:rPr>
              <w:t xml:space="preserve">length and diameter </w:t>
            </w:r>
            <w:r w:rsidRPr="00D54F99">
              <w:rPr>
                <w:rFonts w:eastAsia="Calibri"/>
              </w:rPr>
              <w:t>measurement error</w:t>
            </w:r>
          </w:p>
          <w:p w14:paraId="7005FB99" w14:textId="18203EF7" w:rsidR="00F1480E" w:rsidRPr="00D54F99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industry-accepted</w:t>
            </w:r>
            <w:proofErr w:type="gramEnd"/>
            <w:r>
              <w:rPr>
                <w:rFonts w:eastAsia="Calibri"/>
              </w:rPr>
              <w:t xml:space="preserve"> </w:t>
            </w:r>
            <w:r w:rsidRPr="00D54F99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 product identification.</w:t>
            </w:r>
          </w:p>
        </w:tc>
      </w:tr>
    </w:tbl>
    <w:p w14:paraId="707E1BB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D8BF3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0FABAB0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3DE2B713" w14:textId="77777777" w:rsidTr="00CA2922">
        <w:tc>
          <w:tcPr>
            <w:tcW w:w="5000" w:type="pct"/>
            <w:shd w:val="clear" w:color="auto" w:fill="auto"/>
          </w:tcPr>
          <w:p w14:paraId="1F2B78B2" w14:textId="77777777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29DF2109" w14:textId="77777777" w:rsidR="001E1972" w:rsidRPr="008515D6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physical conditions:</w:t>
            </w:r>
          </w:p>
          <w:p w14:paraId="7003191A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skills must be demonstrated in a </w:t>
            </w:r>
            <w:r>
              <w:rPr>
                <w:rFonts w:eastAsia="Calibri"/>
              </w:rPr>
              <w:t>forest harvesting</w:t>
            </w:r>
            <w:r w:rsidRPr="008515D6">
              <w:rPr>
                <w:rFonts w:eastAsia="Calibri"/>
              </w:rPr>
              <w:t xml:space="preserve"> site or an environment that accurately represents workplace conditions</w:t>
            </w:r>
          </w:p>
          <w:p w14:paraId="41E6FB8C" w14:textId="77777777" w:rsidR="001E1972" w:rsidRPr="008515D6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resources, equipment and materials:</w:t>
            </w:r>
          </w:p>
          <w:p w14:paraId="554D0280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logs for </w:t>
            </w:r>
            <w:r>
              <w:rPr>
                <w:rFonts w:eastAsia="Calibri"/>
              </w:rPr>
              <w:t>segregation and sorting</w:t>
            </w:r>
          </w:p>
          <w:p w14:paraId="0665BDC6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>standard and digital log measuring tools</w:t>
            </w:r>
          </w:p>
          <w:p w14:paraId="082DFD2B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 w:rsidRPr="008515D6">
              <w:rPr>
                <w:rFonts w:eastAsia="Calibri"/>
              </w:rPr>
              <w:t xml:space="preserve">personal protective equipment </w:t>
            </w:r>
          </w:p>
          <w:p w14:paraId="675622DA" w14:textId="77777777" w:rsidR="001E1972" w:rsidRPr="008515D6" w:rsidRDefault="001E1972" w:rsidP="001E1972">
            <w:pPr>
              <w:pStyle w:val="SIBulletList1"/>
              <w:ind w:left="360"/>
              <w:rPr>
                <w:rFonts w:eastAsia="Calibri"/>
              </w:rPr>
            </w:pPr>
            <w:r w:rsidRPr="008515D6">
              <w:rPr>
                <w:rFonts w:eastAsia="Calibri"/>
              </w:rPr>
              <w:t>specifications:</w:t>
            </w:r>
          </w:p>
          <w:p w14:paraId="6E83E2EE" w14:textId="02D50B83" w:rsidR="001E1972" w:rsidRPr="000D313A" w:rsidRDefault="001E1972" w:rsidP="001E1972">
            <w:pPr>
              <w:pStyle w:val="SIBulletList1"/>
            </w:pPr>
            <w:r>
              <w:rPr>
                <w:rFonts w:eastAsia="Calibri"/>
              </w:rPr>
              <w:t>a</w:t>
            </w:r>
            <w:r w:rsidRPr="000D313A">
              <w:t xml:space="preserve">ccess to organisational policies and procedure which cover off on </w:t>
            </w:r>
            <w:r>
              <w:t xml:space="preserve">current Work Health and Safety Acts or Occupation Health and Safety Acts, regulations and related industry standards </w:t>
            </w:r>
            <w:r w:rsidR="00910B41">
              <w:t>and</w:t>
            </w:r>
            <w:r>
              <w:t xml:space="preserve"> codes of practice applicable to forest harvesting operations</w:t>
            </w:r>
          </w:p>
          <w:p w14:paraId="54A5A737" w14:textId="0376F9B1" w:rsidR="001E1972" w:rsidRPr="000D313A" w:rsidRDefault="001E1972" w:rsidP="001E1972">
            <w:pPr>
              <w:pStyle w:val="SIBulletList1"/>
            </w:pPr>
            <w:r>
              <w:lastRenderedPageBreak/>
              <w:t xml:space="preserve">access to </w:t>
            </w:r>
            <w:r w:rsidRPr="000D313A">
              <w:t xml:space="preserve">organisational policies and procedure which cover off on </w:t>
            </w:r>
            <w:r>
              <w:t xml:space="preserve">current Environment Protection Acts, regulations and related industry standards </w:t>
            </w:r>
            <w:r w:rsidR="00910B41">
              <w:t>and</w:t>
            </w:r>
            <w:r>
              <w:t xml:space="preserve"> codes of practice applicable to forest harvesting operations</w:t>
            </w:r>
          </w:p>
          <w:p w14:paraId="720CD267" w14:textId="77777777" w:rsidR="001E1972" w:rsidRPr="008515D6" w:rsidRDefault="001E1972" w:rsidP="001E197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production plan,</w:t>
            </w:r>
            <w:r>
              <w:t xml:space="preserve"> site operational plan</w:t>
            </w:r>
            <w:r>
              <w:rPr>
                <w:rFonts w:eastAsia="Calibri"/>
              </w:rPr>
              <w:t xml:space="preserve"> and log product specifications </w:t>
            </w:r>
          </w:p>
          <w:p w14:paraId="70F0A90F" w14:textId="77777777" w:rsidR="001E1972" w:rsidRDefault="001E1972" w:rsidP="001E197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Pr="008515D6">
              <w:rPr>
                <w:rFonts w:eastAsia="Calibri"/>
              </w:rPr>
              <w:t xml:space="preserve"> site emergency procedure</w:t>
            </w:r>
          </w:p>
          <w:p w14:paraId="1CEC4FBA" w14:textId="10437CBB" w:rsidR="00A13E92" w:rsidRPr="001E1972" w:rsidRDefault="001E1972" w:rsidP="001E1972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access</w:t>
            </w:r>
            <w:proofErr w:type="gramEnd"/>
            <w:r>
              <w:rPr>
                <w:rFonts w:eastAsia="Calibri"/>
              </w:rPr>
              <w:t xml:space="preserve"> to organisational standard operating procedure for log segregation and sorting.</w:t>
            </w:r>
          </w:p>
          <w:p w14:paraId="09586FDC" w14:textId="77777777" w:rsidR="00A13E92" w:rsidRPr="008515D6" w:rsidRDefault="00A13E92" w:rsidP="00A13E92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  <w:p w14:paraId="3245E158" w14:textId="23256AED" w:rsidR="00F1480E" w:rsidRPr="001E1972" w:rsidRDefault="007134FE" w:rsidP="001E1972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3D962B8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1041D63" w14:textId="77777777" w:rsidTr="004679E3">
        <w:tc>
          <w:tcPr>
            <w:tcW w:w="990" w:type="pct"/>
            <w:shd w:val="clear" w:color="auto" w:fill="auto"/>
          </w:tcPr>
          <w:p w14:paraId="4510D7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32271958" w14:textId="51F4B432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BE3425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35E81F54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3C778" w14:textId="77777777" w:rsidR="00F644DE" w:rsidRDefault="00F644DE" w:rsidP="00BF3F0A">
      <w:r>
        <w:separator/>
      </w:r>
    </w:p>
    <w:p w14:paraId="3BF8430D" w14:textId="77777777" w:rsidR="00F644DE" w:rsidRDefault="00F644DE"/>
  </w:endnote>
  <w:endnote w:type="continuationSeparator" w:id="0">
    <w:p w14:paraId="7C7EF061" w14:textId="77777777" w:rsidR="00F644DE" w:rsidRDefault="00F644DE" w:rsidP="00BF3F0A">
      <w:r>
        <w:continuationSeparator/>
      </w:r>
    </w:p>
    <w:p w14:paraId="2CD8BD57" w14:textId="77777777" w:rsidR="00F644DE" w:rsidRDefault="00F6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83A58" w14:textId="05DD9A10" w:rsidR="000E25E6" w:rsidRDefault="00D810DE" w:rsidP="006A2B68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DE3">
          <w:rPr>
            <w:noProof/>
          </w:rPr>
          <w:t>5</w:t>
        </w:r>
        <w:r>
          <w:rPr>
            <w:noProof/>
          </w:rPr>
          <w:fldChar w:fldCharType="end"/>
        </w:r>
      </w:p>
      <w:p w14:paraId="01630D20" w14:textId="77777777" w:rsidR="00D810DE" w:rsidRDefault="000E25E6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4FFB3F3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F4D4B" w14:textId="77777777" w:rsidR="00F644DE" w:rsidRDefault="00F644DE" w:rsidP="00BF3F0A">
      <w:r>
        <w:separator/>
      </w:r>
    </w:p>
    <w:p w14:paraId="29253297" w14:textId="77777777" w:rsidR="00F644DE" w:rsidRDefault="00F644DE"/>
  </w:footnote>
  <w:footnote w:type="continuationSeparator" w:id="0">
    <w:p w14:paraId="4CE356BC" w14:textId="77777777" w:rsidR="00F644DE" w:rsidRDefault="00F644DE" w:rsidP="00BF3F0A">
      <w:r>
        <w:continuationSeparator/>
      </w:r>
    </w:p>
    <w:p w14:paraId="48833659" w14:textId="77777777" w:rsidR="00F644DE" w:rsidRDefault="00F644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5F5C9" w14:textId="77EA7B27" w:rsidR="009C2650" w:rsidRPr="00680C30" w:rsidRDefault="00680C30" w:rsidP="00680C30">
    <w:pPr>
      <w:pStyle w:val="Header"/>
    </w:pPr>
    <w:r>
      <w:t>FWPCOT2223 Segregate and sort logs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DE"/>
    <w:rsid w:val="000014B9"/>
    <w:rsid w:val="00005A15"/>
    <w:rsid w:val="00005D6D"/>
    <w:rsid w:val="0001108F"/>
    <w:rsid w:val="000115E2"/>
    <w:rsid w:val="00011761"/>
    <w:rsid w:val="0001296A"/>
    <w:rsid w:val="00016803"/>
    <w:rsid w:val="00023992"/>
    <w:rsid w:val="00041E59"/>
    <w:rsid w:val="00064BFE"/>
    <w:rsid w:val="00064CFB"/>
    <w:rsid w:val="00070B3E"/>
    <w:rsid w:val="00071F95"/>
    <w:rsid w:val="000737BB"/>
    <w:rsid w:val="00074E47"/>
    <w:rsid w:val="000848AD"/>
    <w:rsid w:val="0009093B"/>
    <w:rsid w:val="00096B43"/>
    <w:rsid w:val="000A5441"/>
    <w:rsid w:val="000A68D5"/>
    <w:rsid w:val="000C224E"/>
    <w:rsid w:val="000E25E6"/>
    <w:rsid w:val="000E2C86"/>
    <w:rsid w:val="000F29F2"/>
    <w:rsid w:val="00101659"/>
    <w:rsid w:val="00102DE3"/>
    <w:rsid w:val="0010595A"/>
    <w:rsid w:val="001078BF"/>
    <w:rsid w:val="00116668"/>
    <w:rsid w:val="0012103A"/>
    <w:rsid w:val="00125FC6"/>
    <w:rsid w:val="00133957"/>
    <w:rsid w:val="00136014"/>
    <w:rsid w:val="001372F6"/>
    <w:rsid w:val="00137DB0"/>
    <w:rsid w:val="001401AD"/>
    <w:rsid w:val="00144385"/>
    <w:rsid w:val="001457C3"/>
    <w:rsid w:val="00151D93"/>
    <w:rsid w:val="00156EF3"/>
    <w:rsid w:val="00174FFA"/>
    <w:rsid w:val="00176E4F"/>
    <w:rsid w:val="0018546B"/>
    <w:rsid w:val="001A6654"/>
    <w:rsid w:val="001A6A3E"/>
    <w:rsid w:val="001A7B6D"/>
    <w:rsid w:val="001B34D5"/>
    <w:rsid w:val="001B513A"/>
    <w:rsid w:val="001B5A3A"/>
    <w:rsid w:val="001C0A75"/>
    <w:rsid w:val="001C1306"/>
    <w:rsid w:val="001D5C1B"/>
    <w:rsid w:val="001D7F5B"/>
    <w:rsid w:val="001E16BC"/>
    <w:rsid w:val="001E16DF"/>
    <w:rsid w:val="001E1972"/>
    <w:rsid w:val="001F2BA5"/>
    <w:rsid w:val="001F308D"/>
    <w:rsid w:val="00201A7C"/>
    <w:rsid w:val="0021210E"/>
    <w:rsid w:val="0021414D"/>
    <w:rsid w:val="0021764A"/>
    <w:rsid w:val="002206E6"/>
    <w:rsid w:val="00223124"/>
    <w:rsid w:val="00233143"/>
    <w:rsid w:val="00233910"/>
    <w:rsid w:val="00234444"/>
    <w:rsid w:val="00242293"/>
    <w:rsid w:val="00244EA7"/>
    <w:rsid w:val="00260851"/>
    <w:rsid w:val="00262FC3"/>
    <w:rsid w:val="00276A32"/>
    <w:rsid w:val="00276DB8"/>
    <w:rsid w:val="00282664"/>
    <w:rsid w:val="00285799"/>
    <w:rsid w:val="00285FB8"/>
    <w:rsid w:val="002A0263"/>
    <w:rsid w:val="002A4CD3"/>
    <w:rsid w:val="002A51AC"/>
    <w:rsid w:val="002A56DB"/>
    <w:rsid w:val="002A6CC4"/>
    <w:rsid w:val="002A6F21"/>
    <w:rsid w:val="002C55E9"/>
    <w:rsid w:val="002D0C8B"/>
    <w:rsid w:val="002D330A"/>
    <w:rsid w:val="002D3D3D"/>
    <w:rsid w:val="002E193E"/>
    <w:rsid w:val="002F4935"/>
    <w:rsid w:val="00300DA0"/>
    <w:rsid w:val="00305D06"/>
    <w:rsid w:val="00310A6A"/>
    <w:rsid w:val="003144E6"/>
    <w:rsid w:val="0031497F"/>
    <w:rsid w:val="00316905"/>
    <w:rsid w:val="00337E82"/>
    <w:rsid w:val="00345AAB"/>
    <w:rsid w:val="00346339"/>
    <w:rsid w:val="00350BB1"/>
    <w:rsid w:val="00352C83"/>
    <w:rsid w:val="00356C6F"/>
    <w:rsid w:val="00366805"/>
    <w:rsid w:val="0037067D"/>
    <w:rsid w:val="003813EE"/>
    <w:rsid w:val="0038735B"/>
    <w:rsid w:val="003916D1"/>
    <w:rsid w:val="0039541F"/>
    <w:rsid w:val="003A21F0"/>
    <w:rsid w:val="003A58BA"/>
    <w:rsid w:val="003A5AE7"/>
    <w:rsid w:val="003A5BCC"/>
    <w:rsid w:val="003A6F85"/>
    <w:rsid w:val="003A7221"/>
    <w:rsid w:val="003C13AE"/>
    <w:rsid w:val="003D2E73"/>
    <w:rsid w:val="003D524D"/>
    <w:rsid w:val="003E72B6"/>
    <w:rsid w:val="003E7BBE"/>
    <w:rsid w:val="003F3E4B"/>
    <w:rsid w:val="003F4A2D"/>
    <w:rsid w:val="004127E3"/>
    <w:rsid w:val="004149B0"/>
    <w:rsid w:val="0043095F"/>
    <w:rsid w:val="0043212E"/>
    <w:rsid w:val="00432812"/>
    <w:rsid w:val="00434366"/>
    <w:rsid w:val="00434ECE"/>
    <w:rsid w:val="00444423"/>
    <w:rsid w:val="00446738"/>
    <w:rsid w:val="004500D5"/>
    <w:rsid w:val="00452F3E"/>
    <w:rsid w:val="004640AE"/>
    <w:rsid w:val="004679E3"/>
    <w:rsid w:val="00475172"/>
    <w:rsid w:val="004758B0"/>
    <w:rsid w:val="004832D2"/>
    <w:rsid w:val="00485559"/>
    <w:rsid w:val="004A142B"/>
    <w:rsid w:val="004A44E8"/>
    <w:rsid w:val="004A7706"/>
    <w:rsid w:val="004B29B7"/>
    <w:rsid w:val="004B7A28"/>
    <w:rsid w:val="004C2244"/>
    <w:rsid w:val="004C79A1"/>
    <w:rsid w:val="004C7A4E"/>
    <w:rsid w:val="004D0D5F"/>
    <w:rsid w:val="004D1569"/>
    <w:rsid w:val="004D44B1"/>
    <w:rsid w:val="004E0460"/>
    <w:rsid w:val="004E1579"/>
    <w:rsid w:val="004E5FAE"/>
    <w:rsid w:val="004E6741"/>
    <w:rsid w:val="004E7094"/>
    <w:rsid w:val="004F11C2"/>
    <w:rsid w:val="004F3966"/>
    <w:rsid w:val="004F5DC7"/>
    <w:rsid w:val="004F78DA"/>
    <w:rsid w:val="005034AD"/>
    <w:rsid w:val="005248C1"/>
    <w:rsid w:val="00526134"/>
    <w:rsid w:val="00536940"/>
    <w:rsid w:val="005405B2"/>
    <w:rsid w:val="005427C8"/>
    <w:rsid w:val="005446D1"/>
    <w:rsid w:val="00546ECF"/>
    <w:rsid w:val="00556C4C"/>
    <w:rsid w:val="00557369"/>
    <w:rsid w:val="00560D46"/>
    <w:rsid w:val="00564ADD"/>
    <w:rsid w:val="00565135"/>
    <w:rsid w:val="00565D12"/>
    <w:rsid w:val="005668CE"/>
    <w:rsid w:val="005708EB"/>
    <w:rsid w:val="00575BC6"/>
    <w:rsid w:val="005774CA"/>
    <w:rsid w:val="00583902"/>
    <w:rsid w:val="0059655D"/>
    <w:rsid w:val="005A1D70"/>
    <w:rsid w:val="005A3AA5"/>
    <w:rsid w:val="005A6C9C"/>
    <w:rsid w:val="005A74DC"/>
    <w:rsid w:val="005B00B4"/>
    <w:rsid w:val="005B5146"/>
    <w:rsid w:val="005E51E6"/>
    <w:rsid w:val="005E5262"/>
    <w:rsid w:val="005F027A"/>
    <w:rsid w:val="005F33CC"/>
    <w:rsid w:val="005F4EA3"/>
    <w:rsid w:val="006121D4"/>
    <w:rsid w:val="00613B49"/>
    <w:rsid w:val="00620E8E"/>
    <w:rsid w:val="00633CFE"/>
    <w:rsid w:val="00634FCA"/>
    <w:rsid w:val="00643D1B"/>
    <w:rsid w:val="006452B8"/>
    <w:rsid w:val="00652E62"/>
    <w:rsid w:val="006564A8"/>
    <w:rsid w:val="00680C30"/>
    <w:rsid w:val="00683A3B"/>
    <w:rsid w:val="00686A49"/>
    <w:rsid w:val="00687B62"/>
    <w:rsid w:val="00690C44"/>
    <w:rsid w:val="006969D9"/>
    <w:rsid w:val="006A2B68"/>
    <w:rsid w:val="006A774C"/>
    <w:rsid w:val="006B3BAE"/>
    <w:rsid w:val="006B7F6F"/>
    <w:rsid w:val="006C2F32"/>
    <w:rsid w:val="006D38C3"/>
    <w:rsid w:val="006D4448"/>
    <w:rsid w:val="006E2C4D"/>
    <w:rsid w:val="006E42FE"/>
    <w:rsid w:val="006F4084"/>
    <w:rsid w:val="00705EEC"/>
    <w:rsid w:val="00706092"/>
    <w:rsid w:val="00707741"/>
    <w:rsid w:val="007134FE"/>
    <w:rsid w:val="007164EB"/>
    <w:rsid w:val="00722769"/>
    <w:rsid w:val="00724F3A"/>
    <w:rsid w:val="00727901"/>
    <w:rsid w:val="0073075B"/>
    <w:rsid w:val="007341FF"/>
    <w:rsid w:val="007404E9"/>
    <w:rsid w:val="007444CF"/>
    <w:rsid w:val="00751EF4"/>
    <w:rsid w:val="0076523B"/>
    <w:rsid w:val="00767F7B"/>
    <w:rsid w:val="00771B60"/>
    <w:rsid w:val="00776F4F"/>
    <w:rsid w:val="00781D77"/>
    <w:rsid w:val="00783549"/>
    <w:rsid w:val="007860B7"/>
    <w:rsid w:val="00786DC8"/>
    <w:rsid w:val="007A4011"/>
    <w:rsid w:val="007C124A"/>
    <w:rsid w:val="007D5A78"/>
    <w:rsid w:val="007E3BD1"/>
    <w:rsid w:val="007E6FEF"/>
    <w:rsid w:val="007F1563"/>
    <w:rsid w:val="007F1EB2"/>
    <w:rsid w:val="007F44DB"/>
    <w:rsid w:val="007F5A8B"/>
    <w:rsid w:val="007F76F0"/>
    <w:rsid w:val="00800299"/>
    <w:rsid w:val="008003BF"/>
    <w:rsid w:val="008065D1"/>
    <w:rsid w:val="00812213"/>
    <w:rsid w:val="00816EF3"/>
    <w:rsid w:val="00817D51"/>
    <w:rsid w:val="00823530"/>
    <w:rsid w:val="00823FF4"/>
    <w:rsid w:val="0082714B"/>
    <w:rsid w:val="00830267"/>
    <w:rsid w:val="008306E7"/>
    <w:rsid w:val="00834BC8"/>
    <w:rsid w:val="00837FD6"/>
    <w:rsid w:val="00847B60"/>
    <w:rsid w:val="00850243"/>
    <w:rsid w:val="008515D6"/>
    <w:rsid w:val="008545EB"/>
    <w:rsid w:val="00855CAD"/>
    <w:rsid w:val="00865011"/>
    <w:rsid w:val="00886790"/>
    <w:rsid w:val="008908DE"/>
    <w:rsid w:val="008A12ED"/>
    <w:rsid w:val="008A39D3"/>
    <w:rsid w:val="008B2C77"/>
    <w:rsid w:val="008B4AD2"/>
    <w:rsid w:val="008B5C72"/>
    <w:rsid w:val="008C5BB6"/>
    <w:rsid w:val="008D0DFD"/>
    <w:rsid w:val="008D2DE8"/>
    <w:rsid w:val="008E260C"/>
    <w:rsid w:val="008E39BE"/>
    <w:rsid w:val="008E62EC"/>
    <w:rsid w:val="008F32F6"/>
    <w:rsid w:val="00910B41"/>
    <w:rsid w:val="009149A1"/>
    <w:rsid w:val="00916CD7"/>
    <w:rsid w:val="00920927"/>
    <w:rsid w:val="00921B38"/>
    <w:rsid w:val="00922D02"/>
    <w:rsid w:val="00923720"/>
    <w:rsid w:val="009278C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79BB"/>
    <w:rsid w:val="009F0643"/>
    <w:rsid w:val="009F0DCC"/>
    <w:rsid w:val="009F11CA"/>
    <w:rsid w:val="00A0695B"/>
    <w:rsid w:val="00A13052"/>
    <w:rsid w:val="00A13E92"/>
    <w:rsid w:val="00A20654"/>
    <w:rsid w:val="00A216A8"/>
    <w:rsid w:val="00A223A6"/>
    <w:rsid w:val="00A4088E"/>
    <w:rsid w:val="00A427FB"/>
    <w:rsid w:val="00A5092E"/>
    <w:rsid w:val="00A56E14"/>
    <w:rsid w:val="00A6476B"/>
    <w:rsid w:val="00A72994"/>
    <w:rsid w:val="00A76C6C"/>
    <w:rsid w:val="00A92DD1"/>
    <w:rsid w:val="00AA108A"/>
    <w:rsid w:val="00AA5338"/>
    <w:rsid w:val="00AB1B8E"/>
    <w:rsid w:val="00AC0696"/>
    <w:rsid w:val="00AC2996"/>
    <w:rsid w:val="00AC4C98"/>
    <w:rsid w:val="00AC51F2"/>
    <w:rsid w:val="00AC5F6B"/>
    <w:rsid w:val="00AD3896"/>
    <w:rsid w:val="00AD4DDC"/>
    <w:rsid w:val="00AD5B47"/>
    <w:rsid w:val="00AD5F45"/>
    <w:rsid w:val="00AE1ED9"/>
    <w:rsid w:val="00AE32CB"/>
    <w:rsid w:val="00AF3957"/>
    <w:rsid w:val="00B02030"/>
    <w:rsid w:val="00B12013"/>
    <w:rsid w:val="00B22C67"/>
    <w:rsid w:val="00B3508F"/>
    <w:rsid w:val="00B36557"/>
    <w:rsid w:val="00B443EE"/>
    <w:rsid w:val="00B532F0"/>
    <w:rsid w:val="00B560C8"/>
    <w:rsid w:val="00B61150"/>
    <w:rsid w:val="00B630CB"/>
    <w:rsid w:val="00B6509A"/>
    <w:rsid w:val="00B65BC7"/>
    <w:rsid w:val="00B746B9"/>
    <w:rsid w:val="00B848D4"/>
    <w:rsid w:val="00B85A0E"/>
    <w:rsid w:val="00B865B7"/>
    <w:rsid w:val="00BA1CB1"/>
    <w:rsid w:val="00BA4178"/>
    <w:rsid w:val="00BA482D"/>
    <w:rsid w:val="00BB05EB"/>
    <w:rsid w:val="00BB23F4"/>
    <w:rsid w:val="00BC5075"/>
    <w:rsid w:val="00BC5419"/>
    <w:rsid w:val="00BD2050"/>
    <w:rsid w:val="00BD3B0F"/>
    <w:rsid w:val="00BE3425"/>
    <w:rsid w:val="00BE7C4B"/>
    <w:rsid w:val="00BF1D4C"/>
    <w:rsid w:val="00BF3F0A"/>
    <w:rsid w:val="00C0348F"/>
    <w:rsid w:val="00C143C3"/>
    <w:rsid w:val="00C1739B"/>
    <w:rsid w:val="00C212BC"/>
    <w:rsid w:val="00C21ADE"/>
    <w:rsid w:val="00C26067"/>
    <w:rsid w:val="00C30A29"/>
    <w:rsid w:val="00C317DC"/>
    <w:rsid w:val="00C578E9"/>
    <w:rsid w:val="00C61E75"/>
    <w:rsid w:val="00C70626"/>
    <w:rsid w:val="00C72860"/>
    <w:rsid w:val="00C73B90"/>
    <w:rsid w:val="00C742EC"/>
    <w:rsid w:val="00C77008"/>
    <w:rsid w:val="00C80460"/>
    <w:rsid w:val="00C81164"/>
    <w:rsid w:val="00C87193"/>
    <w:rsid w:val="00C96AF3"/>
    <w:rsid w:val="00C97CCC"/>
    <w:rsid w:val="00CA0274"/>
    <w:rsid w:val="00CA3371"/>
    <w:rsid w:val="00CB746F"/>
    <w:rsid w:val="00CC019C"/>
    <w:rsid w:val="00CC451E"/>
    <w:rsid w:val="00CD3C5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299"/>
    <w:rsid w:val="00D145BE"/>
    <w:rsid w:val="00D20C57"/>
    <w:rsid w:val="00D2400A"/>
    <w:rsid w:val="00D25D16"/>
    <w:rsid w:val="00D32124"/>
    <w:rsid w:val="00D3645D"/>
    <w:rsid w:val="00D513F8"/>
    <w:rsid w:val="00D54C76"/>
    <w:rsid w:val="00D54F99"/>
    <w:rsid w:val="00D70729"/>
    <w:rsid w:val="00D71E43"/>
    <w:rsid w:val="00D727F3"/>
    <w:rsid w:val="00D73695"/>
    <w:rsid w:val="00D80E12"/>
    <w:rsid w:val="00D810DE"/>
    <w:rsid w:val="00D84863"/>
    <w:rsid w:val="00D87D32"/>
    <w:rsid w:val="00D92C83"/>
    <w:rsid w:val="00D93AF6"/>
    <w:rsid w:val="00DA0057"/>
    <w:rsid w:val="00DA0A81"/>
    <w:rsid w:val="00DA3C10"/>
    <w:rsid w:val="00DA53B5"/>
    <w:rsid w:val="00DC15B9"/>
    <w:rsid w:val="00DC1D69"/>
    <w:rsid w:val="00DC4DDE"/>
    <w:rsid w:val="00DC51C1"/>
    <w:rsid w:val="00DC5A3A"/>
    <w:rsid w:val="00DF24EB"/>
    <w:rsid w:val="00DF565B"/>
    <w:rsid w:val="00E074E9"/>
    <w:rsid w:val="00E16E2D"/>
    <w:rsid w:val="00E238E6"/>
    <w:rsid w:val="00E35064"/>
    <w:rsid w:val="00E3681D"/>
    <w:rsid w:val="00E36FFA"/>
    <w:rsid w:val="00E472CD"/>
    <w:rsid w:val="00E501F0"/>
    <w:rsid w:val="00E6166D"/>
    <w:rsid w:val="00E90BF4"/>
    <w:rsid w:val="00E9199A"/>
    <w:rsid w:val="00E91BFF"/>
    <w:rsid w:val="00E92933"/>
    <w:rsid w:val="00EA6F1E"/>
    <w:rsid w:val="00EB0AA4"/>
    <w:rsid w:val="00EB5C88"/>
    <w:rsid w:val="00EB6689"/>
    <w:rsid w:val="00EC0469"/>
    <w:rsid w:val="00EC287B"/>
    <w:rsid w:val="00EC7172"/>
    <w:rsid w:val="00EC71BB"/>
    <w:rsid w:val="00ED727F"/>
    <w:rsid w:val="00EF01F8"/>
    <w:rsid w:val="00EF40EF"/>
    <w:rsid w:val="00F06331"/>
    <w:rsid w:val="00F1480E"/>
    <w:rsid w:val="00F1497D"/>
    <w:rsid w:val="00F16AAC"/>
    <w:rsid w:val="00F32D89"/>
    <w:rsid w:val="00F3483E"/>
    <w:rsid w:val="00F36B97"/>
    <w:rsid w:val="00F40FF1"/>
    <w:rsid w:val="00F438FC"/>
    <w:rsid w:val="00F5616F"/>
    <w:rsid w:val="00F56827"/>
    <w:rsid w:val="00F63DB9"/>
    <w:rsid w:val="00F644DE"/>
    <w:rsid w:val="00F65EF0"/>
    <w:rsid w:val="00F71651"/>
    <w:rsid w:val="00F76CC6"/>
    <w:rsid w:val="00F83D7C"/>
    <w:rsid w:val="00FB1ABD"/>
    <w:rsid w:val="00FB232E"/>
    <w:rsid w:val="00FC5DC7"/>
    <w:rsid w:val="00FD2F21"/>
    <w:rsid w:val="00FD557D"/>
    <w:rsid w:val="00FE0282"/>
    <w:rsid w:val="00FE124D"/>
    <w:rsid w:val="00FE39C9"/>
    <w:rsid w:val="00FE57C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71F"/>
  <w15:docId w15:val="{1548BFC4-D38E-4D16-80A5-E9A6E86F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54F99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54F99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99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99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99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D54F9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9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9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9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pText">
    <w:name w:val="Tip Text"/>
    <w:basedOn w:val="Normal"/>
    <w:uiPriority w:val="99"/>
    <w:rsid w:val="00680C30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869db97-dd18-4e83-af6c-d0927595ea3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D3BDC3-06C9-4ED4-A8B8-C1DDA0B9C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B0FD1-B790-4D14-99A3-DFD97477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32</cp:revision>
  <cp:lastPrinted>2016-05-27T05:21:00Z</cp:lastPrinted>
  <dcterms:created xsi:type="dcterms:W3CDTF">2017-05-20T09:04:00Z</dcterms:created>
  <dcterms:modified xsi:type="dcterms:W3CDTF">2017-07-25T01:15:00Z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