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4793B098" w:rsidR="00F1480E" w:rsidRPr="005404CB" w:rsidRDefault="00DD32A0" w:rsidP="00B87E7C">
            <w:pPr>
              <w:pStyle w:val="SIText"/>
            </w:pPr>
            <w:r w:rsidRPr="00DD32A0">
              <w:t>This version released with AHC Agriculture, Horticulture</w:t>
            </w:r>
            <w:r w:rsidR="00784B74">
              <w:t xml:space="preserve"> and</w:t>
            </w:r>
            <w:r w:rsidRPr="00DD32A0">
              <w:t xml:space="preserve"> Conservation and Land Management Training Package </w:t>
            </w:r>
            <w:r w:rsidRPr="00B87E7C">
              <w:t xml:space="preserve">Version </w:t>
            </w:r>
            <w:r w:rsidR="00B87E7C" w:rsidRPr="00B87E7C">
              <w:t>9</w:t>
            </w:r>
            <w:r w:rsidRPr="00B87E7C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0D784C5B" w:rsidR="00F1480E" w:rsidRPr="005404CB" w:rsidRDefault="00E17A92" w:rsidP="005404CB">
            <w:pPr>
              <w:pStyle w:val="SIUNITCODE"/>
            </w:pPr>
            <w:r>
              <w:t>AHCWHS</w:t>
            </w:r>
            <w:r w:rsidR="002E0A2A">
              <w:t>4</w:t>
            </w:r>
            <w:r w:rsidR="0019162B">
              <w:t>02</w:t>
            </w:r>
          </w:p>
        </w:tc>
        <w:tc>
          <w:tcPr>
            <w:tcW w:w="3604" w:type="pct"/>
            <w:shd w:val="clear" w:color="auto" w:fill="auto"/>
          </w:tcPr>
          <w:p w14:paraId="5DC38CF2" w14:textId="5D9E7E80" w:rsidR="00F1480E" w:rsidRPr="005404CB" w:rsidRDefault="002E0A2A" w:rsidP="005404CB">
            <w:pPr>
              <w:pStyle w:val="SIUnittitle"/>
            </w:pPr>
            <w:r w:rsidRPr="002E0A2A">
              <w:t>Maintain work</w:t>
            </w:r>
            <w:r w:rsidR="00B64961">
              <w:t>place</w:t>
            </w:r>
            <w:r w:rsidRPr="002E0A2A">
              <w:t xml:space="preserve"> health and safety processes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2DF43A" w14:textId="5039BDAD" w:rsidR="0039243D" w:rsidRPr="0039243D" w:rsidRDefault="0039243D" w:rsidP="0039243D">
            <w:pPr>
              <w:pStyle w:val="SIText"/>
            </w:pPr>
            <w:r w:rsidRPr="0039243D">
              <w:t xml:space="preserve">This unit of competency describes the skills and knowledge required to </w:t>
            </w:r>
            <w:r w:rsidR="00B176F6">
              <w:t xml:space="preserve">maintain workplace health and safety processes, including </w:t>
            </w:r>
            <w:r w:rsidRPr="0039243D">
              <w:t>facilitat</w:t>
            </w:r>
            <w:r w:rsidR="00B176F6">
              <w:t>ing</w:t>
            </w:r>
            <w:r w:rsidRPr="0039243D">
              <w:t xml:space="preserve"> meetings and document</w:t>
            </w:r>
            <w:r w:rsidR="00B176F6">
              <w:t>ing</w:t>
            </w:r>
            <w:r w:rsidRPr="0039243D">
              <w:t xml:space="preserve"> actions that relate to the consideration of work</w:t>
            </w:r>
            <w:r w:rsidR="00B176F6">
              <w:t>place</w:t>
            </w:r>
            <w:r w:rsidRPr="0039243D">
              <w:t xml:space="preserve"> health and safety issues.</w:t>
            </w:r>
          </w:p>
          <w:p w14:paraId="06FF18A9" w14:textId="77777777" w:rsidR="0039243D" w:rsidRPr="0039243D" w:rsidRDefault="0039243D" w:rsidP="0039243D">
            <w:pPr>
              <w:pStyle w:val="SIText"/>
            </w:pPr>
          </w:p>
          <w:p w14:paraId="0361B8BB" w14:textId="4A129D27" w:rsidR="0039243D" w:rsidRPr="0039243D" w:rsidRDefault="0039243D" w:rsidP="0039243D">
            <w:pPr>
              <w:pStyle w:val="SIText"/>
            </w:pPr>
            <w:r w:rsidRPr="0039243D">
              <w:t>Th</w:t>
            </w:r>
            <w:r w:rsidR="00B176F6">
              <w:t>e</w:t>
            </w:r>
            <w:r w:rsidRPr="0039243D">
              <w:t xml:space="preserve"> unit </w:t>
            </w:r>
            <w:r w:rsidR="00B176F6">
              <w:t>applies</w:t>
            </w:r>
            <w:r w:rsidRPr="0039243D">
              <w:t xml:space="preserve"> to </w:t>
            </w:r>
            <w:r w:rsidR="00B176F6">
              <w:t>individuals who apply specialist skills and knowledge to maintaining workplace health and safety processes</w:t>
            </w:r>
            <w:r w:rsidRPr="0039243D">
              <w:t>.</w:t>
            </w:r>
            <w:r w:rsidR="00B176F6">
              <w:t xml:space="preserve"> This includes applying and communicating non-routine technical solutions to predictable and unpredictable problems.</w:t>
            </w:r>
          </w:p>
          <w:p w14:paraId="56F88D4A" w14:textId="77777777" w:rsidR="0039243D" w:rsidRPr="0039243D" w:rsidRDefault="0039243D" w:rsidP="0039243D">
            <w:pPr>
              <w:pStyle w:val="SIText"/>
            </w:pPr>
          </w:p>
          <w:p w14:paraId="185121EF" w14:textId="7FF4669C" w:rsidR="0039243D" w:rsidRPr="0039243D" w:rsidRDefault="0039243D" w:rsidP="0039243D">
            <w:pPr>
              <w:pStyle w:val="SIText"/>
            </w:pPr>
            <w:r w:rsidRPr="0039243D">
              <w:t xml:space="preserve">All work must be carried out to comply with workplace </w:t>
            </w:r>
            <w:r w:rsidR="00B176F6">
              <w:t xml:space="preserve">procedures, health </w:t>
            </w:r>
            <w:r w:rsidRPr="0039243D">
              <w:t xml:space="preserve">and </w:t>
            </w:r>
            <w:r w:rsidR="00B176F6">
              <w:t xml:space="preserve">safety in the workplace requirements, </w:t>
            </w:r>
            <w:r w:rsidRPr="0039243D">
              <w:t xml:space="preserve">legislative </w:t>
            </w:r>
            <w:r w:rsidR="00B176F6">
              <w:t xml:space="preserve">and regulatory </w:t>
            </w:r>
            <w:r w:rsidRPr="0039243D">
              <w:t>requirements.</w:t>
            </w:r>
          </w:p>
          <w:p w14:paraId="7B8F7D53" w14:textId="77777777" w:rsidR="0039243D" w:rsidRPr="0039243D" w:rsidRDefault="0039243D" w:rsidP="0039243D">
            <w:pPr>
              <w:pStyle w:val="SIText"/>
            </w:pPr>
          </w:p>
          <w:p w14:paraId="13AD0B59" w14:textId="4239FCD8" w:rsidR="0039080D" w:rsidRDefault="0039243D" w:rsidP="0039243D">
            <w:pPr>
              <w:pStyle w:val="SIText"/>
            </w:pPr>
            <w:r w:rsidRPr="0039243D">
              <w:t>NOTE</w:t>
            </w:r>
            <w:r w:rsidR="0039080D">
              <w:t>S</w:t>
            </w:r>
            <w:r w:rsidRPr="0039243D">
              <w:t>:</w:t>
            </w:r>
          </w:p>
          <w:p w14:paraId="5CAC2F3A" w14:textId="52B471A7" w:rsidR="0039243D" w:rsidRPr="0039243D" w:rsidRDefault="0039080D" w:rsidP="0039243D">
            <w:pPr>
              <w:pStyle w:val="SIText"/>
            </w:pPr>
            <w:r>
              <w:t xml:space="preserve">1. </w:t>
            </w:r>
            <w:r w:rsidR="0039243D" w:rsidRPr="0039243D">
              <w:t xml:space="preserve">The terms 'occupational health and safety' (OHS) and 'work health and safety' (WHS) are equivalent and generally either can be used in the workplace. In jurisdictions where the </w:t>
            </w:r>
            <w:r w:rsidRPr="0039080D">
              <w:rPr>
                <w:rStyle w:val="SIText-Italic"/>
              </w:rPr>
              <w:t>m</w:t>
            </w:r>
            <w:r w:rsidR="0039243D" w:rsidRPr="0039080D">
              <w:rPr>
                <w:rStyle w:val="SIText-Italic"/>
              </w:rPr>
              <w:t xml:space="preserve">odel WHS </w:t>
            </w:r>
            <w:r w:rsidRPr="0039080D">
              <w:rPr>
                <w:rStyle w:val="SIText-Italic"/>
              </w:rPr>
              <w:t>laws</w:t>
            </w:r>
            <w:r w:rsidR="0039243D" w:rsidRPr="0039243D">
              <w:t xml:space="preserve"> ha</w:t>
            </w:r>
            <w:r>
              <w:t>ve</w:t>
            </w:r>
            <w:r w:rsidR="0039243D" w:rsidRPr="0039243D">
              <w:t xml:space="preserve"> not been implemented</w:t>
            </w:r>
            <w:r>
              <w:t>, registered training organisations</w:t>
            </w:r>
            <w:r w:rsidR="0039243D" w:rsidRPr="0039243D">
              <w:t xml:space="preserve"> </w:t>
            </w:r>
            <w:r>
              <w:t>(</w:t>
            </w:r>
            <w:r w:rsidR="0039243D" w:rsidRPr="0039243D">
              <w:t>RTOs</w:t>
            </w:r>
            <w:r>
              <w:t>)</w:t>
            </w:r>
            <w:r w:rsidR="0039243D" w:rsidRPr="0039243D">
              <w:t xml:space="preserve"> are advised to contextualise th</w:t>
            </w:r>
            <w:r>
              <w:t>is</w:t>
            </w:r>
            <w:r w:rsidR="0039243D" w:rsidRPr="0039243D">
              <w:t xml:space="preserve"> unit of competency by referring to existing </w:t>
            </w:r>
            <w:r>
              <w:t>WHS</w:t>
            </w:r>
            <w:r w:rsidR="0039243D" w:rsidRPr="0039243D">
              <w:t xml:space="preserve"> legislative requirements.</w:t>
            </w:r>
          </w:p>
          <w:p w14:paraId="549CACE5" w14:textId="2E8A5299" w:rsidR="0039243D" w:rsidRPr="0039080D" w:rsidRDefault="0039080D" w:rsidP="0039080D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39080D">
              <w:t xml:space="preserve">2. The </w:t>
            </w:r>
            <w:r w:rsidRPr="0039080D">
              <w:rPr>
                <w:rStyle w:val="SIText-Italic"/>
              </w:rPr>
              <w:t>model WHS laws</w:t>
            </w:r>
            <w:r w:rsidRPr="0039080D">
              <w:rPr>
                <w:rStyle w:val="SIText-Italic"/>
                <w:i w:val="0"/>
                <w:szCs w:val="22"/>
              </w:rPr>
              <w:t xml:space="preserve"> include the model WHS Act, model WHS Regulations, and model WHS Codes of Practice. See Safe Work Australia for further information.</w:t>
            </w:r>
          </w:p>
          <w:p w14:paraId="0B8F7B05" w14:textId="77777777" w:rsidR="0039080D" w:rsidRPr="0039080D" w:rsidRDefault="0039080D" w:rsidP="0039080D">
            <w:pPr>
              <w:pStyle w:val="SIText"/>
            </w:pPr>
          </w:p>
          <w:p w14:paraId="3202A0B8" w14:textId="0C67AF79" w:rsidR="008A0AF4" w:rsidRPr="000754EC" w:rsidRDefault="0039243D" w:rsidP="0039243D">
            <w:pPr>
              <w:pStyle w:val="SIText"/>
            </w:pPr>
            <w:r w:rsidRPr="0039243D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7F31181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3C397677" w:rsidR="00F1480E" w:rsidRPr="005404CB" w:rsidRDefault="00E54608" w:rsidP="005404CB">
            <w:pPr>
              <w:pStyle w:val="SIText"/>
            </w:pPr>
            <w:r w:rsidRPr="00E54608">
              <w:t>Work Health and Safety (WHS)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F7994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2DDD629E" w:rsidR="00EF7994" w:rsidRPr="00EF7994" w:rsidRDefault="00EF7994" w:rsidP="00EF7994">
            <w:pPr>
              <w:pStyle w:val="SIText"/>
            </w:pPr>
            <w:r w:rsidRPr="00EF7994">
              <w:t>1. Provide information about work</w:t>
            </w:r>
            <w:r w:rsidR="0039080D">
              <w:t>place</w:t>
            </w:r>
            <w:r w:rsidRPr="00EF7994">
              <w:t xml:space="preserve"> health and safety</w:t>
            </w:r>
          </w:p>
        </w:tc>
        <w:tc>
          <w:tcPr>
            <w:tcW w:w="3604" w:type="pct"/>
            <w:shd w:val="clear" w:color="auto" w:fill="auto"/>
          </w:tcPr>
          <w:p w14:paraId="004F11C7" w14:textId="4C41C454" w:rsidR="00EF7994" w:rsidRPr="00EF7994" w:rsidRDefault="00EF7994" w:rsidP="00EF7994">
            <w:r w:rsidRPr="00EF7994">
              <w:t xml:space="preserve">1.1 </w:t>
            </w:r>
            <w:r w:rsidR="003D64F2">
              <w:t>Access</w:t>
            </w:r>
            <w:r w:rsidR="0039080D">
              <w:t xml:space="preserve"> </w:t>
            </w:r>
            <w:r w:rsidRPr="00EF7994">
              <w:t>relevant provisions of work</w:t>
            </w:r>
            <w:r w:rsidR="0039080D">
              <w:t>place</w:t>
            </w:r>
            <w:r w:rsidRPr="00EF7994">
              <w:t xml:space="preserve"> health and safety legislation</w:t>
            </w:r>
            <w:r w:rsidR="0039080D">
              <w:t>, regulations</w:t>
            </w:r>
            <w:r w:rsidRPr="00EF7994">
              <w:t xml:space="preserve"> and </w:t>
            </w:r>
            <w:r w:rsidR="007E402E">
              <w:t>c</w:t>
            </w:r>
            <w:r w:rsidRPr="00EF7994">
              <w:t xml:space="preserve">odes of </w:t>
            </w:r>
            <w:r w:rsidR="007E402E">
              <w:t>p</w:t>
            </w:r>
            <w:r w:rsidRPr="00EF7994">
              <w:t>ractice</w:t>
            </w:r>
          </w:p>
          <w:p w14:paraId="7469C2CD" w14:textId="18B4226C" w:rsidR="00EF7994" w:rsidRPr="00EF7994" w:rsidRDefault="00EF7994" w:rsidP="00EF7994">
            <w:r w:rsidRPr="00EF7994">
              <w:t>1.2 Provide</w:t>
            </w:r>
            <w:r w:rsidR="0039080D">
              <w:t xml:space="preserve"> and explain</w:t>
            </w:r>
            <w:r w:rsidRPr="00EF7994">
              <w:t xml:space="preserve"> information on work</w:t>
            </w:r>
            <w:r w:rsidR="0039080D">
              <w:t>place</w:t>
            </w:r>
            <w:r w:rsidRPr="00EF7994">
              <w:t xml:space="preserve"> health and safety policies, procedures and programs to the work group</w:t>
            </w:r>
          </w:p>
          <w:p w14:paraId="36FFA5C5" w14:textId="4677E470" w:rsidR="00EF7994" w:rsidRPr="00EF7994" w:rsidRDefault="00EF7994" w:rsidP="00EF7994">
            <w:pPr>
              <w:pStyle w:val="SIText"/>
            </w:pPr>
            <w:r w:rsidRPr="00EF7994">
              <w:t xml:space="preserve">1.3 </w:t>
            </w:r>
            <w:r w:rsidR="0039080D">
              <w:t xml:space="preserve">Provide information and updates on </w:t>
            </w:r>
            <w:r w:rsidRPr="00EF7994">
              <w:t>identified hazards, the outcomes of risk assessment and control procedures</w:t>
            </w:r>
          </w:p>
        </w:tc>
      </w:tr>
      <w:tr w:rsidR="00EF7994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2CD9E91" w:rsidR="00EF7994" w:rsidRPr="00EF7994" w:rsidRDefault="00EF7994" w:rsidP="00EF7994">
            <w:pPr>
              <w:pStyle w:val="SIText"/>
            </w:pPr>
            <w:r w:rsidRPr="00EF7994">
              <w:t>2. Facilitate the participation of workers in work</w:t>
            </w:r>
            <w:r w:rsidR="0039080D">
              <w:t>place</w:t>
            </w:r>
            <w:r w:rsidRPr="00EF7994">
              <w:t xml:space="preserve"> health and safety observance and decision-making</w:t>
            </w:r>
          </w:p>
        </w:tc>
        <w:tc>
          <w:tcPr>
            <w:tcW w:w="3604" w:type="pct"/>
            <w:shd w:val="clear" w:color="auto" w:fill="auto"/>
          </w:tcPr>
          <w:p w14:paraId="481D364B" w14:textId="447E5B4C" w:rsidR="00EF7994" w:rsidRPr="00EF7994" w:rsidRDefault="00EF7994" w:rsidP="00EF7994">
            <w:r w:rsidRPr="00EF7994">
              <w:t xml:space="preserve">2.1 Implement and monitor </w:t>
            </w:r>
            <w:r w:rsidR="00B64961">
              <w:t>workplace</w:t>
            </w:r>
            <w:r w:rsidRPr="00EF7994">
              <w:t xml:space="preserve"> </w:t>
            </w:r>
            <w:r w:rsidR="003D64F2">
              <w:t xml:space="preserve">health and safety consultation </w:t>
            </w:r>
            <w:r w:rsidRPr="00EF7994">
              <w:t>procedures</w:t>
            </w:r>
          </w:p>
          <w:p w14:paraId="23B8B563" w14:textId="0B86D4B5" w:rsidR="00EF7994" w:rsidRPr="00EF7994" w:rsidRDefault="00EF7994" w:rsidP="00EF7994">
            <w:r w:rsidRPr="00EF7994">
              <w:t xml:space="preserve">2.2 </w:t>
            </w:r>
            <w:r w:rsidR="00F74D01">
              <w:t>Consult with</w:t>
            </w:r>
            <w:r w:rsidR="00EE0DFF">
              <w:t xml:space="preserve"> work group </w:t>
            </w:r>
            <w:r w:rsidR="00F74D01">
              <w:t>to determine</w:t>
            </w:r>
            <w:r w:rsidRPr="00EF7994">
              <w:t xml:space="preserve"> work</w:t>
            </w:r>
            <w:r w:rsidR="00EE0DFF">
              <w:t>place</w:t>
            </w:r>
            <w:r w:rsidRPr="00EF7994">
              <w:t xml:space="preserve"> health and safety </w:t>
            </w:r>
            <w:r w:rsidR="00F74D01">
              <w:t>procedures</w:t>
            </w:r>
          </w:p>
          <w:p w14:paraId="00135E27" w14:textId="23069DB7" w:rsidR="00EF7994" w:rsidRPr="00EF7994" w:rsidRDefault="00EF7994" w:rsidP="00EF7994">
            <w:r w:rsidRPr="00EF7994">
              <w:t xml:space="preserve">2.3 </w:t>
            </w:r>
            <w:r w:rsidR="00017FBA">
              <w:t>R</w:t>
            </w:r>
            <w:r w:rsidRPr="00EF7994">
              <w:t xml:space="preserve">esolve issues raised through consultation or refer them to </w:t>
            </w:r>
            <w:r w:rsidR="00EE0DFF">
              <w:t>designated personnel</w:t>
            </w:r>
          </w:p>
          <w:p w14:paraId="215A6E64" w14:textId="73F47F9A" w:rsidR="00EF7994" w:rsidRPr="00EF7994" w:rsidRDefault="00EF7994" w:rsidP="00EF7994">
            <w:pPr>
              <w:pStyle w:val="SIText"/>
            </w:pPr>
            <w:r w:rsidRPr="00EF7994">
              <w:t>2.4 Communicate</w:t>
            </w:r>
            <w:r w:rsidR="00EE0DFF">
              <w:t xml:space="preserve"> to the work group</w:t>
            </w:r>
            <w:r w:rsidRPr="00EF7994">
              <w:t xml:space="preserve"> the outcomes of consultation over work</w:t>
            </w:r>
            <w:r w:rsidR="00EE0DFF">
              <w:t>place</w:t>
            </w:r>
            <w:r w:rsidRPr="00EF7994">
              <w:t xml:space="preserve"> health and safety issues</w:t>
            </w:r>
          </w:p>
        </w:tc>
      </w:tr>
      <w:tr w:rsidR="00EF7994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733F6ACA" w:rsidR="00EF7994" w:rsidRPr="00EF7994" w:rsidRDefault="00EF7994" w:rsidP="00EF7994">
            <w:pPr>
              <w:pStyle w:val="SIText"/>
            </w:pPr>
            <w:r w:rsidRPr="00EF7994">
              <w:lastRenderedPageBreak/>
              <w:t>3. Implement procedures for identifying hazards and assessing and controlling risks</w:t>
            </w:r>
          </w:p>
        </w:tc>
        <w:tc>
          <w:tcPr>
            <w:tcW w:w="3604" w:type="pct"/>
            <w:shd w:val="clear" w:color="auto" w:fill="auto"/>
          </w:tcPr>
          <w:p w14:paraId="465FC2B1" w14:textId="3E814854" w:rsidR="00EF7994" w:rsidRPr="00EF7994" w:rsidRDefault="00EF7994" w:rsidP="00EF7994">
            <w:r w:rsidRPr="00EF7994">
              <w:t xml:space="preserve">3.1 Identify </w:t>
            </w:r>
            <w:r w:rsidR="00EE0DFF">
              <w:t xml:space="preserve">and report </w:t>
            </w:r>
            <w:r w:rsidRPr="00EF7994">
              <w:t>existing and potential</w:t>
            </w:r>
            <w:r w:rsidR="00EE0DFF">
              <w:t xml:space="preserve"> workplace health and safety</w:t>
            </w:r>
            <w:r w:rsidRPr="00EF7994">
              <w:t xml:space="preserve"> hazards</w:t>
            </w:r>
          </w:p>
          <w:p w14:paraId="62BCE441" w14:textId="60AE68B6" w:rsidR="00EF7994" w:rsidRPr="00EF7994" w:rsidRDefault="00EF7994" w:rsidP="00EF7994">
            <w:r w:rsidRPr="00EF7994">
              <w:t>3.2 Check that the work group implements procedures to control work</w:t>
            </w:r>
            <w:r w:rsidR="00EE0DFF">
              <w:t>place</w:t>
            </w:r>
            <w:r w:rsidRPr="00EF7994">
              <w:t xml:space="preserve"> health and safety risks and undertake regular monitoring to ensure ongoing adherence and effectiveness of risk control</w:t>
            </w:r>
          </w:p>
          <w:p w14:paraId="038D774C" w14:textId="63B044FC" w:rsidR="00EF7994" w:rsidRPr="00EF7994" w:rsidRDefault="00EF7994" w:rsidP="00EF7994">
            <w:r w:rsidRPr="00EF7994">
              <w:t xml:space="preserve">3.3 Identify inadequacies in existing risk control measures </w:t>
            </w:r>
            <w:r w:rsidR="00EE0DFF">
              <w:t>according to</w:t>
            </w:r>
            <w:r w:rsidRPr="00EF7994">
              <w:t xml:space="preserve"> the hierarchy of control</w:t>
            </w:r>
            <w:r w:rsidR="00E81C6A">
              <w:t>,</w:t>
            </w:r>
            <w:r w:rsidRPr="00EF7994">
              <w:t xml:space="preserve"> and report inadequacies to designated personnel</w:t>
            </w:r>
          </w:p>
          <w:p w14:paraId="65263E61" w14:textId="77777777" w:rsidR="00EF7994" w:rsidRPr="00EF7994" w:rsidRDefault="00EF7994" w:rsidP="00EF7994">
            <w:r w:rsidRPr="00EF7994">
              <w:t>3.4 Identify and report inadequacies in allocation of resources to management to ensure safe work practice</w:t>
            </w:r>
          </w:p>
          <w:p w14:paraId="069D5DEA" w14:textId="05B5B55E" w:rsidR="00EF7994" w:rsidRPr="00EF7994" w:rsidRDefault="00EF7994" w:rsidP="00EF7994">
            <w:r w:rsidRPr="00EF7994">
              <w:t xml:space="preserve">3.5 Monitor and report existing risk control measures </w:t>
            </w:r>
            <w:r w:rsidR="00EE0DFF">
              <w:t>according to</w:t>
            </w:r>
            <w:r w:rsidRPr="00EF7994">
              <w:t xml:space="preserve"> workplace </w:t>
            </w:r>
            <w:r w:rsidR="00EE0DFF">
              <w:t xml:space="preserve">health and safety policies and </w:t>
            </w:r>
            <w:r w:rsidRPr="00EF7994">
              <w:t>procedures</w:t>
            </w:r>
          </w:p>
        </w:tc>
      </w:tr>
      <w:tr w:rsidR="00EF7994" w:rsidRPr="00963A46" w14:paraId="6AB5F0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EBC2BD" w14:textId="0CC9A0B5" w:rsidR="00EF7994" w:rsidRPr="00EF7994" w:rsidRDefault="00EF7994" w:rsidP="00EF7994">
            <w:pPr>
              <w:pStyle w:val="SIText"/>
            </w:pPr>
            <w:r w:rsidRPr="00EF7994">
              <w:t>4. Implement workplace procedures for dealing with emergencies and hazardous events</w:t>
            </w:r>
          </w:p>
        </w:tc>
        <w:tc>
          <w:tcPr>
            <w:tcW w:w="3604" w:type="pct"/>
            <w:shd w:val="clear" w:color="auto" w:fill="auto"/>
          </w:tcPr>
          <w:p w14:paraId="26063EDA" w14:textId="3D7DE315" w:rsidR="00EF7994" w:rsidRPr="00EF7994" w:rsidRDefault="00EF7994" w:rsidP="00EF7994">
            <w:r w:rsidRPr="00EF7994">
              <w:t xml:space="preserve">4.1 Implement workplace procedures for dealing with </w:t>
            </w:r>
            <w:r w:rsidR="00881C22">
              <w:t>near</w:t>
            </w:r>
            <w:r w:rsidR="00AD3677">
              <w:t xml:space="preserve"> </w:t>
            </w:r>
            <w:r w:rsidR="00733500">
              <w:t xml:space="preserve">misses, and </w:t>
            </w:r>
            <w:r w:rsidRPr="00EF7994">
              <w:t>work</w:t>
            </w:r>
            <w:r w:rsidR="00EE0DFF">
              <w:t>place</w:t>
            </w:r>
            <w:r w:rsidRPr="00EF7994">
              <w:t xml:space="preserve"> health and safety emergencies</w:t>
            </w:r>
          </w:p>
          <w:p w14:paraId="58A5EDA9" w14:textId="023B3811" w:rsidR="00EF7994" w:rsidRPr="00EF7994" w:rsidRDefault="00EF7994" w:rsidP="00EF7994">
            <w:r w:rsidRPr="00EF7994">
              <w:t>4.2 Report work</w:t>
            </w:r>
            <w:r w:rsidR="00EE0DFF">
              <w:t>place</w:t>
            </w:r>
            <w:r w:rsidRPr="00EF7994">
              <w:t xml:space="preserve"> health and safety </w:t>
            </w:r>
            <w:r w:rsidR="00733500">
              <w:t xml:space="preserve">near-misses and </w:t>
            </w:r>
            <w:r w:rsidRPr="00EF7994">
              <w:t xml:space="preserve">emergencies </w:t>
            </w:r>
            <w:r w:rsidR="00EE0DFF">
              <w:t>according to</w:t>
            </w:r>
            <w:r w:rsidRPr="00EF7994">
              <w:t xml:space="preserve"> </w:t>
            </w:r>
            <w:r w:rsidR="00B64961">
              <w:t>workplace</w:t>
            </w:r>
            <w:r w:rsidRPr="00EF7994">
              <w:t xml:space="preserve"> </w:t>
            </w:r>
            <w:r w:rsidR="00EE0DFF">
              <w:t xml:space="preserve">health and safety policies and </w:t>
            </w:r>
            <w:r w:rsidRPr="00EF7994">
              <w:t>procedures</w:t>
            </w:r>
          </w:p>
          <w:p w14:paraId="7F9AA4EC" w14:textId="1401B3B5" w:rsidR="00EF7994" w:rsidRPr="00EF7994" w:rsidRDefault="00EF7994" w:rsidP="00EF7994">
            <w:r w:rsidRPr="00EF7994">
              <w:t xml:space="preserve">4.3 Implement control measures </w:t>
            </w:r>
            <w:r w:rsidR="00EE0DFF">
              <w:t>according to the</w:t>
            </w:r>
            <w:r w:rsidRPr="00EF7994">
              <w:t xml:space="preserve"> hierarchy of control</w:t>
            </w:r>
            <w:r w:rsidR="00E81C6A">
              <w:t>,</w:t>
            </w:r>
            <w:r w:rsidRPr="00EF7994">
              <w:t xml:space="preserve"> or refer measures to designated personnel for implementation</w:t>
            </w:r>
          </w:p>
        </w:tc>
      </w:tr>
      <w:tr w:rsidR="00EF7994" w:rsidRPr="00963A46" w14:paraId="1CDE4A9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43BDC6" w14:textId="20F4D95A" w:rsidR="00EF7994" w:rsidRPr="00EF7994" w:rsidRDefault="00EF7994" w:rsidP="00EF7994">
            <w:pPr>
              <w:pStyle w:val="SIText"/>
            </w:pPr>
            <w:r w:rsidRPr="00EF7994">
              <w:t xml:space="preserve">5. Implement and monitor </w:t>
            </w:r>
            <w:r w:rsidR="00B64961">
              <w:t>workplace</w:t>
            </w:r>
            <w:r w:rsidRPr="00EF7994">
              <w:t xml:space="preserve"> procedures for providing work health and safety training</w:t>
            </w:r>
          </w:p>
        </w:tc>
        <w:tc>
          <w:tcPr>
            <w:tcW w:w="3604" w:type="pct"/>
            <w:shd w:val="clear" w:color="auto" w:fill="auto"/>
          </w:tcPr>
          <w:p w14:paraId="419AAB5E" w14:textId="6C431AAC" w:rsidR="00EF7994" w:rsidRPr="00EF7994" w:rsidRDefault="00EF7994" w:rsidP="00EF7994">
            <w:r w:rsidRPr="00EF7994">
              <w:t>5.1 Identify work</w:t>
            </w:r>
            <w:r w:rsidR="00EE0DFF">
              <w:t>place</w:t>
            </w:r>
            <w:r w:rsidRPr="00EF7994">
              <w:t xml:space="preserve"> health and safety induction and training needs, specifying the gaps between the required work</w:t>
            </w:r>
            <w:r w:rsidR="00EE0DFF">
              <w:t>place</w:t>
            </w:r>
            <w:r w:rsidRPr="00EF7994">
              <w:t xml:space="preserve"> health and safety competencies and those held by the work group</w:t>
            </w:r>
          </w:p>
          <w:p w14:paraId="70D4556E" w14:textId="5114FD93" w:rsidR="00EF7994" w:rsidRPr="00EF7994" w:rsidRDefault="00EF7994" w:rsidP="00EF7994">
            <w:r w:rsidRPr="00EF7994">
              <w:t xml:space="preserve">5.2 </w:t>
            </w:r>
            <w:r w:rsidR="00083D8F">
              <w:t>Facilitate</w:t>
            </w:r>
            <w:r w:rsidRPr="00EF7994">
              <w:t xml:space="preserve"> </w:t>
            </w:r>
            <w:r w:rsidR="00910E7C">
              <w:t xml:space="preserve">identified </w:t>
            </w:r>
            <w:r w:rsidRPr="00EF7994">
              <w:t>work</w:t>
            </w:r>
            <w:r w:rsidR="00EE0DFF">
              <w:t>place</w:t>
            </w:r>
            <w:r w:rsidRPr="00EF7994">
              <w:t xml:space="preserve"> health and safety training</w:t>
            </w:r>
          </w:p>
        </w:tc>
      </w:tr>
      <w:tr w:rsidR="00EF7994" w:rsidRPr="00963A46" w14:paraId="1D4495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E00615" w14:textId="2D0D6117" w:rsidR="00EF7994" w:rsidRPr="00EF7994" w:rsidRDefault="00EF7994" w:rsidP="00EF7994">
            <w:pPr>
              <w:pStyle w:val="SIText"/>
            </w:pPr>
            <w:r w:rsidRPr="00EF7994">
              <w:t xml:space="preserve">6. Implement and monitor </w:t>
            </w:r>
            <w:r w:rsidR="00B64961">
              <w:t>workplace</w:t>
            </w:r>
            <w:r w:rsidRPr="00EF7994">
              <w:t xml:space="preserve"> procedures for maintaining work health and safety records</w:t>
            </w:r>
          </w:p>
        </w:tc>
        <w:tc>
          <w:tcPr>
            <w:tcW w:w="3604" w:type="pct"/>
            <w:shd w:val="clear" w:color="auto" w:fill="auto"/>
          </w:tcPr>
          <w:p w14:paraId="30347FC8" w14:textId="75528D3D" w:rsidR="00EF7994" w:rsidRPr="00EF7994" w:rsidRDefault="00EF7994" w:rsidP="00EF7994">
            <w:r w:rsidRPr="00EF7994">
              <w:t xml:space="preserve">6.1 </w:t>
            </w:r>
            <w:r w:rsidR="00EE0DFF">
              <w:t>C</w:t>
            </w:r>
            <w:r w:rsidRPr="00EF7994">
              <w:t>omplete work</w:t>
            </w:r>
            <w:r w:rsidR="00EE0DFF">
              <w:t>place</w:t>
            </w:r>
            <w:r w:rsidRPr="00EF7994">
              <w:t xml:space="preserve"> health and safety records for work area</w:t>
            </w:r>
          </w:p>
          <w:p w14:paraId="2B55FFD7" w14:textId="7319BC63" w:rsidR="00EF7994" w:rsidRPr="00EF7994" w:rsidRDefault="00EF7994" w:rsidP="00EF7994">
            <w:r w:rsidRPr="00EF7994">
              <w:t xml:space="preserve">6.2 </w:t>
            </w:r>
            <w:r w:rsidR="00017FBA">
              <w:t xml:space="preserve">Review </w:t>
            </w:r>
            <w:r w:rsidRPr="00EF7994">
              <w:t>work</w:t>
            </w:r>
            <w:r w:rsidR="00EE0DFF">
              <w:t>place</w:t>
            </w:r>
            <w:r w:rsidRPr="00EF7994">
              <w:t xml:space="preserve"> health and safety records to identify hazards and monitor risk control procedures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E0DFF" w:rsidRPr="00336FCA" w:rsidDel="00423CB2" w14:paraId="6AD2F76B" w14:textId="77777777" w:rsidTr="00CA2922">
        <w:tc>
          <w:tcPr>
            <w:tcW w:w="1396" w:type="pct"/>
          </w:tcPr>
          <w:p w14:paraId="7D795EC9" w14:textId="5424F445" w:rsidR="00EE0DFF" w:rsidRPr="00B176F6" w:rsidRDefault="00EE0DFF" w:rsidP="00EE0DF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176F6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014063F6" w:rsidR="00EE0DFF" w:rsidRPr="00711F84" w:rsidRDefault="00FE7871" w:rsidP="00711F8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1F84">
              <w:rPr>
                <w:rStyle w:val="SITemporaryText-blue"/>
                <w:color w:val="auto"/>
                <w:sz w:val="20"/>
              </w:rPr>
              <w:t>Access</w:t>
            </w:r>
            <w:r w:rsidR="00EE0DFF" w:rsidRPr="00711F84">
              <w:rPr>
                <w:rStyle w:val="SITemporaryText-blue"/>
                <w:color w:val="auto"/>
                <w:sz w:val="20"/>
              </w:rPr>
              <w:t xml:space="preserve"> </w:t>
            </w:r>
            <w:r w:rsidR="00652F79" w:rsidRPr="00711F84">
              <w:rPr>
                <w:rStyle w:val="SITemporaryText-blue"/>
                <w:color w:val="auto"/>
                <w:sz w:val="20"/>
              </w:rPr>
              <w:t xml:space="preserve">and interpret </w:t>
            </w:r>
            <w:r w:rsidR="00EE0DFF" w:rsidRPr="00711F84">
              <w:t>workplace health and safety legislation, regulations and codes of practice</w:t>
            </w:r>
          </w:p>
        </w:tc>
      </w:tr>
      <w:tr w:rsidR="00EE0DFF" w:rsidRPr="00336FCA" w:rsidDel="00423CB2" w14:paraId="55A8B605" w14:textId="77777777" w:rsidTr="00CA2922">
        <w:tc>
          <w:tcPr>
            <w:tcW w:w="1396" w:type="pct"/>
          </w:tcPr>
          <w:p w14:paraId="3A6AB038" w14:textId="4185014D" w:rsidR="00EE0DFF" w:rsidRPr="00B176F6" w:rsidRDefault="00EE0DFF" w:rsidP="00EE0DF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176F6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71F83944" w:rsidR="00EE0DFF" w:rsidRPr="00711F84" w:rsidRDefault="00652F79" w:rsidP="00711F84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711F84">
              <w:rPr>
                <w:rStyle w:val="SITemporaryText-blue"/>
                <w:rFonts w:eastAsia="Calibri"/>
                <w:color w:val="auto"/>
                <w:sz w:val="20"/>
              </w:rPr>
              <w:t>Use</w:t>
            </w:r>
            <w:r w:rsidR="00B176F6" w:rsidRPr="00711F84">
              <w:rPr>
                <w:rStyle w:val="SITemporaryText-blue"/>
                <w:rFonts w:eastAsia="Calibri"/>
                <w:color w:val="auto"/>
                <w:sz w:val="20"/>
              </w:rPr>
              <w:t xml:space="preserve"> clear language and standard industry terminology to provide relevant information on </w:t>
            </w:r>
            <w:r w:rsidR="00EE0DFF" w:rsidRPr="00711F84">
              <w:rPr>
                <w:rStyle w:val="SITemporaryText-blue"/>
                <w:rFonts w:eastAsia="Calibri"/>
                <w:color w:val="auto"/>
                <w:sz w:val="20"/>
              </w:rPr>
              <w:t>workplace health and safety</w:t>
            </w:r>
            <w:r w:rsidR="00B176F6" w:rsidRPr="00711F84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  <w:r w:rsidR="00EE0DFF" w:rsidRPr="00711F84">
              <w:rPr>
                <w:rStyle w:val="SITemporaryText-blue"/>
                <w:rFonts w:eastAsia="Calibri"/>
                <w:color w:val="auto"/>
                <w:sz w:val="20"/>
              </w:rPr>
              <w:t>hazards</w:t>
            </w:r>
            <w:r w:rsidR="00B176F6" w:rsidRPr="00711F84">
              <w:rPr>
                <w:rStyle w:val="SITemporaryText-blue"/>
                <w:rFonts w:eastAsia="Calibri"/>
                <w:color w:val="auto"/>
                <w:sz w:val="20"/>
              </w:rPr>
              <w:t>,</w:t>
            </w:r>
            <w:r w:rsidR="00EE0DFF" w:rsidRPr="00711F84">
              <w:rPr>
                <w:rStyle w:val="SITemporaryText-blue"/>
                <w:rFonts w:eastAsia="Calibri"/>
                <w:color w:val="auto"/>
                <w:sz w:val="20"/>
              </w:rPr>
              <w:t xml:space="preserve"> risks</w:t>
            </w:r>
            <w:r w:rsidR="00B176F6" w:rsidRPr="00711F84">
              <w:rPr>
                <w:rStyle w:val="SITemporaryText-blue"/>
                <w:rFonts w:eastAsia="Calibri"/>
                <w:color w:val="auto"/>
                <w:sz w:val="20"/>
              </w:rPr>
              <w:t>, control measures and reporting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7525B682" w:rsidR="00E17A92" w:rsidRPr="00B64961" w:rsidRDefault="002E0A2A" w:rsidP="00B6496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4961">
              <w:t>AHCWHS4</w:t>
            </w:r>
            <w:r w:rsidR="0019162B">
              <w:t>02</w:t>
            </w:r>
            <w:r w:rsidRPr="00B64961">
              <w:t xml:space="preserve"> Maintain work</w:t>
            </w:r>
            <w:r w:rsidR="00B64961" w:rsidRPr="00B64961">
              <w:t>place</w:t>
            </w:r>
            <w:r w:rsidRPr="00B64961">
              <w:t xml:space="preserve"> health and safety processes</w:t>
            </w:r>
          </w:p>
        </w:tc>
        <w:tc>
          <w:tcPr>
            <w:tcW w:w="1105" w:type="pct"/>
          </w:tcPr>
          <w:p w14:paraId="68CA03F4" w14:textId="3FF7C74E" w:rsidR="00E17A92" w:rsidRPr="00B64961" w:rsidRDefault="00EF7994" w:rsidP="00B6496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4961">
              <w:t>AHC</w:t>
            </w:r>
            <w:r w:rsidR="00B64961" w:rsidRPr="00B64961">
              <w:t>W</w:t>
            </w:r>
            <w:r w:rsidRPr="00B64961">
              <w:t xml:space="preserve">HS401 Maintain </w:t>
            </w:r>
            <w:r w:rsidR="00B64961" w:rsidRPr="00B64961">
              <w:t xml:space="preserve">work </w:t>
            </w:r>
            <w:r w:rsidRPr="00B64961">
              <w:t>health and safety processes</w:t>
            </w:r>
          </w:p>
        </w:tc>
        <w:tc>
          <w:tcPr>
            <w:tcW w:w="1251" w:type="pct"/>
          </w:tcPr>
          <w:p w14:paraId="29068B99" w14:textId="6CFFD204" w:rsidR="00E17A92" w:rsidRPr="00B64961" w:rsidRDefault="00B64961" w:rsidP="00B6496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4961">
              <w:t>Minor changes to unit title and application M</w:t>
            </w:r>
            <w:r w:rsidR="00F37968">
              <w:t>aj</w:t>
            </w:r>
            <w:r w:rsidRPr="00B64961">
              <w:t>or changes to performance criteria Foundation skills added 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1FA5C85D" w:rsidR="00E17A92" w:rsidRPr="00B64961" w:rsidRDefault="00B64961" w:rsidP="00B6496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4961">
              <w:rPr>
                <w:rStyle w:val="SITemporaryText-blue"/>
                <w:color w:val="auto"/>
                <w:sz w:val="20"/>
              </w:rPr>
              <w:t>Not e</w:t>
            </w:r>
            <w:r w:rsidR="00443CF6" w:rsidRPr="00B64961">
              <w:rPr>
                <w:rStyle w:val="SITemporaryText-blue"/>
                <w:color w:val="auto"/>
                <w:sz w:val="20"/>
              </w:rPr>
              <w:t>q</w:t>
            </w:r>
            <w:r w:rsidR="004F62CA" w:rsidRPr="00B64961">
              <w:rPr>
                <w:rStyle w:val="SITemporaryText-blue"/>
                <w:color w:val="auto"/>
                <w:sz w:val="20"/>
              </w:rPr>
              <w:t>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67348771" w:rsidR="00E17A92" w:rsidRPr="005404CB" w:rsidRDefault="00E81C6A" w:rsidP="00044B65">
            <w:pPr>
              <w:pStyle w:val="SIText"/>
            </w:pPr>
            <w:r>
              <w:t xml:space="preserve">Companion Volumes, including Implementation </w:t>
            </w:r>
            <w:r w:rsidRPr="00E81C6A">
              <w:t xml:space="preserve">Guides, are available at VETNet: </w:t>
            </w:r>
            <w:hyperlink r:id="rId11" w:history="1">
              <w:r w:rsidRPr="00E81C6A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5FD054A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E0A2A" w:rsidRPr="002E0A2A">
              <w:t>AHCWHS4</w:t>
            </w:r>
            <w:r w:rsidR="0019162B">
              <w:t>02</w:t>
            </w:r>
            <w:r w:rsidR="002E0A2A" w:rsidRPr="002E0A2A">
              <w:t xml:space="preserve"> Maintain work</w:t>
            </w:r>
            <w:r w:rsidR="00B64961">
              <w:t>place</w:t>
            </w:r>
            <w:r w:rsidR="002E0A2A" w:rsidRPr="002E0A2A">
              <w:t xml:space="preserve"> health and safety processes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3A71CF1C" w14:textId="77777777" w:rsidR="00044B65" w:rsidRDefault="00044B65" w:rsidP="00C73BC2">
            <w:r w:rsidRPr="000709F8">
              <w:t>An individual demonstrating competency must satisfy all of the elements and performance criteria in this unit.</w:t>
            </w:r>
          </w:p>
          <w:p w14:paraId="63EC5F02" w14:textId="77777777" w:rsidR="00E81C6A" w:rsidRDefault="00E81C6A" w:rsidP="00C73BC2"/>
          <w:p w14:paraId="105DC5C6" w14:textId="44469C70" w:rsidR="00C73BC2" w:rsidRPr="00C73BC2" w:rsidRDefault="00044B65" w:rsidP="00C73BC2">
            <w:r w:rsidRPr="000709F8">
              <w:t xml:space="preserve">There must be evidence that the individual has </w:t>
            </w:r>
            <w:r>
              <w:t>maintained workplace health and safety processes on at least one occasion and has</w:t>
            </w:r>
            <w:r w:rsidR="00C73BC2" w:rsidRPr="00C73BC2">
              <w:t>:</w:t>
            </w:r>
          </w:p>
          <w:p w14:paraId="70391FED" w14:textId="77777777" w:rsidR="00241AC2" w:rsidRPr="00241AC2" w:rsidRDefault="00241AC2" w:rsidP="00241AC2">
            <w:pPr>
              <w:pStyle w:val="SIBulletList1"/>
            </w:pPr>
            <w:r w:rsidRPr="00C73BC2">
              <w:t>distribute</w:t>
            </w:r>
            <w:r w:rsidRPr="00241AC2">
              <w:t>d information concerning workplace health and safety processes and requirements to work group</w:t>
            </w:r>
          </w:p>
          <w:p w14:paraId="787908AE" w14:textId="6B273F2D" w:rsidR="00C73BC2" w:rsidRPr="00C73BC2" w:rsidRDefault="00C73BC2" w:rsidP="00C73BC2">
            <w:pPr>
              <w:pStyle w:val="SIBulletList1"/>
            </w:pPr>
            <w:r w:rsidRPr="00C73BC2">
              <w:t>facilitate</w:t>
            </w:r>
            <w:r w:rsidR="00B176F6">
              <w:t>d</w:t>
            </w:r>
            <w:r w:rsidRPr="00C73BC2">
              <w:t xml:space="preserve"> the participation of workers in work</w:t>
            </w:r>
            <w:r w:rsidR="00B176F6">
              <w:t>place</w:t>
            </w:r>
            <w:r w:rsidRPr="00C73BC2">
              <w:t xml:space="preserve"> health and safety observance and decision-making</w:t>
            </w:r>
          </w:p>
          <w:p w14:paraId="09434D94" w14:textId="77777777" w:rsidR="00241AC2" w:rsidRPr="00241AC2" w:rsidRDefault="00241AC2" w:rsidP="00241AC2">
            <w:pPr>
              <w:pStyle w:val="SIBulletList1"/>
            </w:pPr>
            <w:r>
              <w:t>consulted with work groups</w:t>
            </w:r>
            <w:r w:rsidRPr="00241AC2">
              <w:t xml:space="preserve"> and documented actions to consider workplace health and safety issues in the workplace</w:t>
            </w:r>
          </w:p>
          <w:p w14:paraId="2CFC1B42" w14:textId="34878E5B" w:rsidR="00C73BC2" w:rsidRPr="00C73BC2" w:rsidRDefault="00C73BC2" w:rsidP="00C73BC2">
            <w:pPr>
              <w:pStyle w:val="SIBulletList1"/>
            </w:pPr>
            <w:r w:rsidRPr="00C73BC2">
              <w:t>identif</w:t>
            </w:r>
            <w:r w:rsidR="0087501B">
              <w:t>ied</w:t>
            </w:r>
            <w:r w:rsidRPr="00C73BC2">
              <w:t xml:space="preserve"> work</w:t>
            </w:r>
            <w:r w:rsidR="0087501B">
              <w:t>place</w:t>
            </w:r>
            <w:r w:rsidRPr="00C73BC2">
              <w:t xml:space="preserve"> health and safety hazards and conduct</w:t>
            </w:r>
            <w:r w:rsidR="0087501B">
              <w:t>ed</w:t>
            </w:r>
            <w:r w:rsidRPr="00C73BC2">
              <w:t xml:space="preserve"> risk assessment process</w:t>
            </w:r>
          </w:p>
          <w:p w14:paraId="28C9B557" w14:textId="77777777" w:rsidR="00241AC2" w:rsidRPr="00241AC2" w:rsidRDefault="00241AC2" w:rsidP="00241AC2">
            <w:pPr>
              <w:pStyle w:val="SIBulletList1"/>
            </w:pPr>
            <w:r>
              <w:t>implemented</w:t>
            </w:r>
            <w:r w:rsidRPr="00241AC2">
              <w:t xml:space="preserve"> procedures to document the identification of hazards and assessment of risk covering the operations of the workplace</w:t>
            </w:r>
          </w:p>
          <w:p w14:paraId="78EA4109" w14:textId="77777777" w:rsidR="00241AC2" w:rsidRPr="00241AC2" w:rsidRDefault="00241AC2" w:rsidP="00241AC2">
            <w:pPr>
              <w:pStyle w:val="SIBulletList1"/>
            </w:pPr>
            <w:r w:rsidRPr="00C73BC2">
              <w:t>respond</w:t>
            </w:r>
            <w:r w:rsidRPr="00241AC2">
              <w:t>ed to emergencies and workplace health and safety issues</w:t>
            </w:r>
          </w:p>
          <w:p w14:paraId="5EAE6F11" w14:textId="217D6DEE" w:rsidR="00C73BC2" w:rsidRPr="00C73BC2" w:rsidRDefault="00C73BC2" w:rsidP="00C73BC2">
            <w:pPr>
              <w:pStyle w:val="SIBulletList1"/>
            </w:pPr>
            <w:r w:rsidRPr="00C73BC2">
              <w:t>implement</w:t>
            </w:r>
            <w:r w:rsidR="0087501B">
              <w:t>ed</w:t>
            </w:r>
            <w:r w:rsidRPr="00C73BC2">
              <w:t xml:space="preserve"> </w:t>
            </w:r>
            <w:r w:rsidR="00B64961">
              <w:t>workplace</w:t>
            </w:r>
            <w:r w:rsidRPr="00C73BC2">
              <w:t xml:space="preserve"> emergency procedures and organise</w:t>
            </w:r>
            <w:r w:rsidR="0087501B">
              <w:t>d</w:t>
            </w:r>
            <w:r w:rsidRPr="00C73BC2">
              <w:t xml:space="preserve"> </w:t>
            </w:r>
            <w:r w:rsidR="00652F79">
              <w:t xml:space="preserve">a </w:t>
            </w:r>
            <w:r w:rsidRPr="00C73BC2">
              <w:t>safety drill</w:t>
            </w:r>
          </w:p>
          <w:p w14:paraId="64E7D2F0" w14:textId="2D50BF61" w:rsidR="00C73BC2" w:rsidRPr="00C73BC2" w:rsidRDefault="00083D8F" w:rsidP="00C73BC2">
            <w:pPr>
              <w:pStyle w:val="SIBulletList1"/>
            </w:pPr>
            <w:r>
              <w:t>facilitated</w:t>
            </w:r>
            <w:r w:rsidR="00C73BC2" w:rsidRPr="00C73BC2">
              <w:t xml:space="preserve"> work</w:t>
            </w:r>
            <w:r w:rsidR="0087501B">
              <w:t>place</w:t>
            </w:r>
            <w:r w:rsidR="00C73BC2" w:rsidRPr="00C73BC2">
              <w:t xml:space="preserve"> health and safety training</w:t>
            </w:r>
          </w:p>
          <w:p w14:paraId="6E81AE9B" w14:textId="13057D80" w:rsidR="00E17A92" w:rsidRPr="005404CB" w:rsidRDefault="00C73BC2" w:rsidP="0087501B">
            <w:pPr>
              <w:pStyle w:val="SIBulletList1"/>
            </w:pPr>
            <w:r w:rsidRPr="00C73BC2">
              <w:t>maintain</w:t>
            </w:r>
            <w:r w:rsidR="0087501B">
              <w:t>ed</w:t>
            </w:r>
            <w:r w:rsidRPr="00C73BC2">
              <w:t xml:space="preserve"> work</w:t>
            </w:r>
            <w:r w:rsidR="0087501B">
              <w:t>place</w:t>
            </w:r>
            <w:r w:rsidRPr="00C73BC2">
              <w:t xml:space="preserve"> health and safety records</w:t>
            </w:r>
            <w:r w:rsidR="00B64961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73BC2">
        <w:trPr>
          <w:trHeight w:val="2775"/>
        </w:trPr>
        <w:tc>
          <w:tcPr>
            <w:tcW w:w="5000" w:type="pct"/>
            <w:shd w:val="clear" w:color="auto" w:fill="auto"/>
          </w:tcPr>
          <w:p w14:paraId="3088AD85" w14:textId="77777777" w:rsidR="00B64961" w:rsidRPr="00B64961" w:rsidRDefault="00B64961" w:rsidP="00B64961">
            <w:r w:rsidRPr="000709F8">
              <w:t xml:space="preserve">An individual must be able to demonstrate the knowledge required to perform the tasks outlined in the elements and performance </w:t>
            </w:r>
            <w:r w:rsidRPr="00B64961">
              <w:t>criteria of this unit. This includes knowledge of:</w:t>
            </w:r>
          </w:p>
          <w:p w14:paraId="24BFE138" w14:textId="1959DED5" w:rsidR="00C73BC2" w:rsidRPr="00C73BC2" w:rsidRDefault="00C73BC2" w:rsidP="00C73BC2">
            <w:pPr>
              <w:pStyle w:val="SIBulletList1"/>
            </w:pPr>
            <w:r w:rsidRPr="00C73BC2">
              <w:t>relevant work</w:t>
            </w:r>
            <w:r w:rsidR="0087501B">
              <w:t>place</w:t>
            </w:r>
            <w:r w:rsidRPr="00C73BC2">
              <w:t xml:space="preserve"> health and safety legislation</w:t>
            </w:r>
            <w:r w:rsidR="0087501B">
              <w:t>, regulations</w:t>
            </w:r>
            <w:r w:rsidRPr="00C73BC2">
              <w:t xml:space="preserve"> and </w:t>
            </w:r>
            <w:r w:rsidR="0087501B">
              <w:t>c</w:t>
            </w:r>
            <w:r w:rsidRPr="00C73BC2">
              <w:t xml:space="preserve">odes of </w:t>
            </w:r>
            <w:r w:rsidR="0087501B">
              <w:t>p</w:t>
            </w:r>
            <w:r w:rsidRPr="00C73BC2">
              <w:t>ractice</w:t>
            </w:r>
          </w:p>
          <w:p w14:paraId="015026AE" w14:textId="04F286D2" w:rsidR="0087501B" w:rsidRDefault="0087501B" w:rsidP="00C73BC2">
            <w:pPr>
              <w:pStyle w:val="SIBulletList1"/>
            </w:pPr>
            <w:r w:rsidRPr="00EF7994">
              <w:t>work</w:t>
            </w:r>
            <w:r>
              <w:t>place</w:t>
            </w:r>
            <w:r w:rsidRPr="00EF7994">
              <w:t xml:space="preserve"> health and safety policies, procedures and programs</w:t>
            </w:r>
          </w:p>
          <w:p w14:paraId="5C916B50" w14:textId="77777777" w:rsidR="00241AC2" w:rsidRPr="00241AC2" w:rsidRDefault="00241AC2" w:rsidP="00241AC2">
            <w:pPr>
              <w:pStyle w:val="SIBulletList1"/>
            </w:pPr>
            <w:r w:rsidRPr="00C73BC2">
              <w:t xml:space="preserve">relevant </w:t>
            </w:r>
            <w:r w:rsidRPr="00241AC2">
              <w:t>workplace management systems and procedures</w:t>
            </w:r>
          </w:p>
          <w:p w14:paraId="702FD604" w14:textId="758819BC" w:rsidR="00C73BC2" w:rsidRPr="00C73BC2" w:rsidRDefault="0087501B" w:rsidP="00C73BC2">
            <w:pPr>
              <w:pStyle w:val="SIBulletList1"/>
            </w:pPr>
            <w:r>
              <w:t xml:space="preserve">workplace health and safety </w:t>
            </w:r>
            <w:r w:rsidR="00C73BC2" w:rsidRPr="00C73BC2">
              <w:t>hazard identification and risk control processes</w:t>
            </w:r>
          </w:p>
          <w:p w14:paraId="7828939A" w14:textId="77777777" w:rsidR="00531233" w:rsidRPr="00C73BC2" w:rsidRDefault="00241AC2" w:rsidP="00531233">
            <w:pPr>
              <w:pStyle w:val="SIBulletList1"/>
            </w:pPr>
            <w:r w:rsidRPr="00C73BC2">
              <w:t>communication and engagement strategies with work</w:t>
            </w:r>
            <w:r w:rsidRPr="00241AC2">
              <w:t xml:space="preserve"> groups</w:t>
            </w:r>
          </w:p>
          <w:p w14:paraId="585AAA26" w14:textId="47B36485" w:rsidR="00241AC2" w:rsidRPr="00241AC2" w:rsidRDefault="00531233" w:rsidP="00531233">
            <w:pPr>
              <w:pStyle w:val="SIBulletList1"/>
            </w:pPr>
            <w:r>
              <w:t>consultation</w:t>
            </w:r>
            <w:r w:rsidRPr="00531233">
              <w:t xml:space="preserve"> practices</w:t>
            </w:r>
          </w:p>
          <w:p w14:paraId="4B878B7C" w14:textId="77777777" w:rsidR="00241AC2" w:rsidRPr="00241AC2" w:rsidRDefault="00241AC2" w:rsidP="00241AC2">
            <w:pPr>
              <w:pStyle w:val="SIBulletList1"/>
            </w:pPr>
            <w:r>
              <w:t xml:space="preserve">workplace health and safety </w:t>
            </w:r>
            <w:r w:rsidRPr="00241AC2">
              <w:t>hazards in the workplace</w:t>
            </w:r>
          </w:p>
          <w:p w14:paraId="6A5C6510" w14:textId="77777777" w:rsidR="00531233" w:rsidRPr="00C73BC2" w:rsidRDefault="00C73BC2" w:rsidP="00531233">
            <w:pPr>
              <w:pStyle w:val="SIBulletList1"/>
            </w:pPr>
            <w:r w:rsidRPr="00C73BC2">
              <w:t>the hierarchy of work</w:t>
            </w:r>
            <w:r w:rsidR="0087501B">
              <w:t>place</w:t>
            </w:r>
            <w:r w:rsidRPr="00C73BC2">
              <w:t xml:space="preserve"> health and safety risk control and its implementation for hazard</w:t>
            </w:r>
            <w:r w:rsidR="00EF365D">
              <w:t xml:space="preserve"> management</w:t>
            </w:r>
          </w:p>
          <w:p w14:paraId="759DFD16" w14:textId="77777777" w:rsidR="00531233" w:rsidRDefault="00531233" w:rsidP="00531233">
            <w:pPr>
              <w:pStyle w:val="SIBulletList1"/>
            </w:pPr>
            <w:r>
              <w:t>accident and incident investigation</w:t>
            </w:r>
          </w:p>
          <w:p w14:paraId="76324BE4" w14:textId="490332DF" w:rsidR="00C73BC2" w:rsidRPr="00C73BC2" w:rsidRDefault="00531233" w:rsidP="00531233">
            <w:pPr>
              <w:pStyle w:val="SIBulletList1"/>
            </w:pPr>
            <w:r>
              <w:t>workplace</w:t>
            </w:r>
            <w:r w:rsidRPr="00531233">
              <w:t xml:space="preserve"> emergency procedures</w:t>
            </w:r>
          </w:p>
          <w:p w14:paraId="411BDF05" w14:textId="5D4D8B60" w:rsidR="00E17A92" w:rsidRPr="005404CB" w:rsidRDefault="00C73BC2" w:rsidP="00531233">
            <w:pPr>
              <w:pStyle w:val="SIBulletList1"/>
            </w:pPr>
            <w:r w:rsidRPr="00C73BC2">
              <w:t>work</w:t>
            </w:r>
            <w:r w:rsidR="0087501B">
              <w:t>place</w:t>
            </w:r>
            <w:r w:rsidRPr="00C73BC2">
              <w:t xml:space="preserve"> health and safety training</w:t>
            </w:r>
            <w:r w:rsidR="0087501B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A215B0C" w14:textId="77777777" w:rsidR="00044B65" w:rsidRPr="00044B65" w:rsidRDefault="00044B65" w:rsidP="00044B65">
            <w:pPr>
              <w:rPr>
                <w:lang w:eastAsia="en-US"/>
              </w:rPr>
            </w:pPr>
            <w:r w:rsidRPr="00044B65">
              <w:rPr>
                <w:lang w:eastAsia="en-US"/>
              </w:rPr>
              <w:t xml:space="preserve">Assessment of the skills in this unit of competency must take place under the following conditions: </w:t>
            </w:r>
          </w:p>
          <w:p w14:paraId="0CAEA7A4" w14:textId="77777777" w:rsidR="00044B65" w:rsidRPr="00044B65" w:rsidRDefault="00044B65" w:rsidP="00044B65">
            <w:pPr>
              <w:pStyle w:val="SIBulletList1"/>
            </w:pPr>
            <w:r w:rsidRPr="00044B65">
              <w:t>physical conditions:</w:t>
            </w:r>
          </w:p>
          <w:p w14:paraId="2361EE9C" w14:textId="0910906B" w:rsidR="00044B65" w:rsidRPr="00044B65" w:rsidRDefault="00B64961" w:rsidP="00044B65">
            <w:pPr>
              <w:pStyle w:val="SIBulletList2"/>
              <w:rPr>
                <w:rFonts w:eastAsia="Calibri"/>
              </w:rPr>
            </w:pPr>
            <w:r w:rsidRPr="000D6970">
              <w:t>a workplace setting or an environment that accurately represents workplace conditions</w:t>
            </w:r>
          </w:p>
          <w:p w14:paraId="7F0B9AB4" w14:textId="77777777" w:rsidR="00044B65" w:rsidRPr="00044B65" w:rsidRDefault="00044B65" w:rsidP="00044B65">
            <w:pPr>
              <w:pStyle w:val="SIBulletList1"/>
            </w:pPr>
            <w:r w:rsidRPr="00044B65">
              <w:t>resources, equipment and materials:</w:t>
            </w:r>
          </w:p>
          <w:p w14:paraId="7B3AE8E4" w14:textId="374E39E5" w:rsidR="00044B65" w:rsidRPr="00044B65" w:rsidRDefault="0087501B" w:rsidP="00044B65">
            <w:pPr>
              <w:pStyle w:val="SIBulletList2"/>
              <w:rPr>
                <w:rFonts w:eastAsia="Calibri"/>
              </w:rPr>
            </w:pPr>
            <w:r w:rsidRPr="00EF7994">
              <w:t>work</w:t>
            </w:r>
            <w:r w:rsidRPr="0087501B">
              <w:t>place health and safety policies, procedures and programs</w:t>
            </w:r>
          </w:p>
          <w:p w14:paraId="1E057CA0" w14:textId="77777777" w:rsidR="00044B65" w:rsidRPr="00044B65" w:rsidRDefault="00044B65" w:rsidP="00044B65">
            <w:pPr>
              <w:pStyle w:val="SIBulletList1"/>
              <w:rPr>
                <w:rFonts w:eastAsia="Calibri"/>
              </w:rPr>
            </w:pPr>
            <w:r w:rsidRPr="00044B65">
              <w:rPr>
                <w:rFonts w:eastAsia="Calibri"/>
              </w:rPr>
              <w:t>specifications:</w:t>
            </w:r>
          </w:p>
          <w:p w14:paraId="538ABB19" w14:textId="2975D4D1" w:rsidR="00044B65" w:rsidRPr="00044B65" w:rsidRDefault="0087501B" w:rsidP="00044B65">
            <w:pPr>
              <w:pStyle w:val="SIBulletList2"/>
              <w:rPr>
                <w:rFonts w:eastAsia="Calibri"/>
              </w:rPr>
            </w:pPr>
            <w:r w:rsidRPr="00AE60D4">
              <w:t>workplace health and safety legislation, regulations, codes of practice and workplace procedures</w:t>
            </w:r>
          </w:p>
          <w:p w14:paraId="0C389809" w14:textId="77777777" w:rsidR="00044B65" w:rsidRPr="00044B65" w:rsidRDefault="00044B65" w:rsidP="00044B65">
            <w:pPr>
              <w:pStyle w:val="SIBulletList1"/>
            </w:pPr>
            <w:r w:rsidRPr="00044B65">
              <w:t>relationships:</w:t>
            </w:r>
          </w:p>
          <w:p w14:paraId="1A139ECF" w14:textId="38DC7174" w:rsidR="00044B65" w:rsidRPr="00044B65" w:rsidRDefault="0087501B" w:rsidP="00044B65">
            <w:pPr>
              <w:pStyle w:val="SIBulletList2"/>
            </w:pPr>
            <w:r w:rsidRPr="0087501B">
              <w:rPr>
                <w:rStyle w:val="SITemporaryText-blue"/>
                <w:rFonts w:eastAsia="Calibri"/>
                <w:color w:val="auto"/>
                <w:sz w:val="20"/>
              </w:rPr>
              <w:t>work group, designated personnel and management representatives</w:t>
            </w:r>
            <w:r w:rsidR="00044B65" w:rsidRPr="00044B65">
              <w:t>.</w:t>
            </w:r>
          </w:p>
          <w:p w14:paraId="7DC01AB3" w14:textId="77777777" w:rsidR="00044B65" w:rsidRPr="00044B65" w:rsidRDefault="00044B65" w:rsidP="00044B65">
            <w:pPr>
              <w:rPr>
                <w:lang w:eastAsia="en-US"/>
              </w:rPr>
            </w:pPr>
          </w:p>
          <w:p w14:paraId="29F679B7" w14:textId="1205603B" w:rsidR="00BC7B51" w:rsidRPr="005404CB" w:rsidRDefault="00044B65" w:rsidP="00B64961">
            <w:pPr>
              <w:rPr>
                <w:rFonts w:eastAsia="Calibri"/>
              </w:rPr>
            </w:pPr>
            <w:r w:rsidRPr="00044B65">
              <w:rPr>
                <w:lang w:eastAsia="en-US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C4C3218" w:rsidR="00E17A92" w:rsidRPr="005404CB" w:rsidRDefault="00E81C6A" w:rsidP="005404CB">
            <w:pPr>
              <w:pStyle w:val="SIText"/>
            </w:pPr>
            <w:r>
              <w:t xml:space="preserve">Companion Volumes, including Implementation </w:t>
            </w:r>
            <w:r w:rsidRPr="00E81C6A">
              <w:t xml:space="preserve">Guides, are available at VETNet: </w:t>
            </w:r>
            <w:hyperlink r:id="rId12" w:history="1">
              <w:r w:rsidRPr="00E81C6A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4AC9A" w14:textId="77777777" w:rsidR="007908B9" w:rsidRDefault="007908B9" w:rsidP="00BF3F0A">
      <w:r>
        <w:separator/>
      </w:r>
    </w:p>
    <w:p w14:paraId="31FE95B2" w14:textId="77777777" w:rsidR="007908B9" w:rsidRDefault="007908B9"/>
  </w:endnote>
  <w:endnote w:type="continuationSeparator" w:id="0">
    <w:p w14:paraId="31D7447E" w14:textId="77777777" w:rsidR="007908B9" w:rsidRDefault="007908B9" w:rsidP="00BF3F0A">
      <w:r>
        <w:continuationSeparator/>
      </w:r>
    </w:p>
    <w:p w14:paraId="2A6B553D" w14:textId="77777777" w:rsidR="007908B9" w:rsidRDefault="007908B9"/>
  </w:endnote>
  <w:endnote w:type="continuationNotice" w:id="1">
    <w:p w14:paraId="2BE77EA2" w14:textId="77777777" w:rsidR="007908B9" w:rsidRDefault="007908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88B77" w14:textId="77777777" w:rsidR="007908B9" w:rsidRDefault="007908B9" w:rsidP="00BF3F0A">
      <w:r>
        <w:separator/>
      </w:r>
    </w:p>
    <w:p w14:paraId="79EB37E2" w14:textId="77777777" w:rsidR="007908B9" w:rsidRDefault="007908B9"/>
  </w:footnote>
  <w:footnote w:type="continuationSeparator" w:id="0">
    <w:p w14:paraId="57F532C2" w14:textId="77777777" w:rsidR="007908B9" w:rsidRDefault="007908B9" w:rsidP="00BF3F0A">
      <w:r>
        <w:continuationSeparator/>
      </w:r>
    </w:p>
    <w:p w14:paraId="74A91C62" w14:textId="77777777" w:rsidR="007908B9" w:rsidRDefault="007908B9"/>
  </w:footnote>
  <w:footnote w:type="continuationNotice" w:id="1">
    <w:p w14:paraId="63C760B0" w14:textId="77777777" w:rsidR="007908B9" w:rsidRDefault="007908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720027B0" w:rsidR="009C2650" w:rsidRPr="000754EC" w:rsidRDefault="002E0A2A" w:rsidP="00146EEC">
    <w:pPr>
      <w:pStyle w:val="SIText"/>
    </w:pPr>
    <w:r w:rsidRPr="002E0A2A">
      <w:t>AHCWHS4</w:t>
    </w:r>
    <w:r w:rsidR="0019162B">
      <w:t>02</w:t>
    </w:r>
    <w:r w:rsidRPr="002E0A2A">
      <w:t xml:space="preserve"> Maintain work</w:t>
    </w:r>
    <w:r w:rsidR="00B64961">
      <w:t>place</w:t>
    </w:r>
    <w:r w:rsidRPr="002E0A2A">
      <w:t xml:space="preserve"> health and safety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130B2"/>
    <w:multiLevelType w:val="multilevel"/>
    <w:tmpl w:val="BFEC61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D354E6"/>
    <w:multiLevelType w:val="multilevel"/>
    <w:tmpl w:val="8D5695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84523"/>
    <w:multiLevelType w:val="multilevel"/>
    <w:tmpl w:val="24EA6A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55378D1"/>
    <w:multiLevelType w:val="multilevel"/>
    <w:tmpl w:val="7E305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95335022">
    <w:abstractNumId w:val="13"/>
  </w:num>
  <w:num w:numId="2" w16cid:durableId="1634797272">
    <w:abstractNumId w:val="8"/>
  </w:num>
  <w:num w:numId="3" w16cid:durableId="1928877527">
    <w:abstractNumId w:val="5"/>
  </w:num>
  <w:num w:numId="4" w16cid:durableId="1822966569">
    <w:abstractNumId w:val="21"/>
  </w:num>
  <w:num w:numId="5" w16cid:durableId="296574052">
    <w:abstractNumId w:val="2"/>
  </w:num>
  <w:num w:numId="6" w16cid:durableId="2066946707">
    <w:abstractNumId w:val="12"/>
  </w:num>
  <w:num w:numId="7" w16cid:durableId="300159730">
    <w:abstractNumId w:val="4"/>
  </w:num>
  <w:num w:numId="8" w16cid:durableId="1850214856">
    <w:abstractNumId w:val="0"/>
  </w:num>
  <w:num w:numId="9" w16cid:durableId="1500535113">
    <w:abstractNumId w:val="20"/>
  </w:num>
  <w:num w:numId="10" w16cid:durableId="239365422">
    <w:abstractNumId w:val="15"/>
  </w:num>
  <w:num w:numId="11" w16cid:durableId="436869560">
    <w:abstractNumId w:val="19"/>
  </w:num>
  <w:num w:numId="12" w16cid:durableId="186455533">
    <w:abstractNumId w:val="17"/>
  </w:num>
  <w:num w:numId="13" w16cid:durableId="292751793">
    <w:abstractNumId w:val="22"/>
  </w:num>
  <w:num w:numId="14" w16cid:durableId="2013219706">
    <w:abstractNumId w:val="6"/>
  </w:num>
  <w:num w:numId="15" w16cid:durableId="2122144000">
    <w:abstractNumId w:val="7"/>
  </w:num>
  <w:num w:numId="16" w16cid:durableId="161748667">
    <w:abstractNumId w:val="23"/>
  </w:num>
  <w:num w:numId="17" w16cid:durableId="343090229">
    <w:abstractNumId w:val="1"/>
  </w:num>
  <w:num w:numId="18" w16cid:durableId="33044146">
    <w:abstractNumId w:val="18"/>
  </w:num>
  <w:num w:numId="19" w16cid:durableId="988904286">
    <w:abstractNumId w:val="9"/>
  </w:num>
  <w:num w:numId="20" w16cid:durableId="1551529362">
    <w:abstractNumId w:val="16"/>
  </w:num>
  <w:num w:numId="21" w16cid:durableId="778333849">
    <w:abstractNumId w:val="3"/>
  </w:num>
  <w:num w:numId="22" w16cid:durableId="713192253">
    <w:abstractNumId w:val="10"/>
  </w:num>
  <w:num w:numId="23" w16cid:durableId="1115099978">
    <w:abstractNumId w:val="11"/>
  </w:num>
  <w:num w:numId="24" w16cid:durableId="1327214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17FBA"/>
    <w:rsid w:val="00023992"/>
    <w:rsid w:val="000275AE"/>
    <w:rsid w:val="00041E59"/>
    <w:rsid w:val="00044B65"/>
    <w:rsid w:val="00064BFE"/>
    <w:rsid w:val="00070B3E"/>
    <w:rsid w:val="00071F95"/>
    <w:rsid w:val="000737BB"/>
    <w:rsid w:val="00074E47"/>
    <w:rsid w:val="000754EC"/>
    <w:rsid w:val="00083D8F"/>
    <w:rsid w:val="00085106"/>
    <w:rsid w:val="00087DB3"/>
    <w:rsid w:val="0009093B"/>
    <w:rsid w:val="000A4FD9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658F"/>
    <w:rsid w:val="001372F6"/>
    <w:rsid w:val="00144385"/>
    <w:rsid w:val="00146EEC"/>
    <w:rsid w:val="00151D55"/>
    <w:rsid w:val="00151D93"/>
    <w:rsid w:val="00156EF3"/>
    <w:rsid w:val="00162F06"/>
    <w:rsid w:val="00176E4F"/>
    <w:rsid w:val="0018546B"/>
    <w:rsid w:val="0019162B"/>
    <w:rsid w:val="00191979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1AC2"/>
    <w:rsid w:val="00242293"/>
    <w:rsid w:val="00244EA7"/>
    <w:rsid w:val="00262FC3"/>
    <w:rsid w:val="0026394F"/>
    <w:rsid w:val="00267AF6"/>
    <w:rsid w:val="00276DB8"/>
    <w:rsid w:val="00280CFD"/>
    <w:rsid w:val="00282664"/>
    <w:rsid w:val="00285FB8"/>
    <w:rsid w:val="002970C3"/>
    <w:rsid w:val="002A4CD3"/>
    <w:rsid w:val="002A6CC4"/>
    <w:rsid w:val="002C55E9"/>
    <w:rsid w:val="002D0C8B"/>
    <w:rsid w:val="002D330A"/>
    <w:rsid w:val="002D59F2"/>
    <w:rsid w:val="002E0A2A"/>
    <w:rsid w:val="002E170C"/>
    <w:rsid w:val="002E193E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8735B"/>
    <w:rsid w:val="0039080D"/>
    <w:rsid w:val="003916D1"/>
    <w:rsid w:val="0039243D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64F2"/>
    <w:rsid w:val="003E72B6"/>
    <w:rsid w:val="003E7BBE"/>
    <w:rsid w:val="004127E3"/>
    <w:rsid w:val="0043212E"/>
    <w:rsid w:val="00434366"/>
    <w:rsid w:val="00434ECE"/>
    <w:rsid w:val="0043637D"/>
    <w:rsid w:val="00443CF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374"/>
    <w:rsid w:val="004F5DC7"/>
    <w:rsid w:val="004F62CA"/>
    <w:rsid w:val="004F78DA"/>
    <w:rsid w:val="005145AB"/>
    <w:rsid w:val="00514886"/>
    <w:rsid w:val="00520E9A"/>
    <w:rsid w:val="005248C1"/>
    <w:rsid w:val="00526134"/>
    <w:rsid w:val="00531233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205"/>
    <w:rsid w:val="00575BC6"/>
    <w:rsid w:val="00583902"/>
    <w:rsid w:val="005879AA"/>
    <w:rsid w:val="005A1D70"/>
    <w:rsid w:val="005A3AA5"/>
    <w:rsid w:val="005A6C9C"/>
    <w:rsid w:val="005A74DC"/>
    <w:rsid w:val="005B5146"/>
    <w:rsid w:val="005D1AFD"/>
    <w:rsid w:val="005E33B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0501"/>
    <w:rsid w:val="00652E62"/>
    <w:rsid w:val="00652F79"/>
    <w:rsid w:val="0068005C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F84"/>
    <w:rsid w:val="007134FE"/>
    <w:rsid w:val="00715794"/>
    <w:rsid w:val="00717385"/>
    <w:rsid w:val="00722769"/>
    <w:rsid w:val="00727901"/>
    <w:rsid w:val="0073075B"/>
    <w:rsid w:val="00731C8D"/>
    <w:rsid w:val="00733500"/>
    <w:rsid w:val="0073404B"/>
    <w:rsid w:val="007341FF"/>
    <w:rsid w:val="007404E9"/>
    <w:rsid w:val="007444CF"/>
    <w:rsid w:val="00752C75"/>
    <w:rsid w:val="00757005"/>
    <w:rsid w:val="00761DBE"/>
    <w:rsid w:val="007638A8"/>
    <w:rsid w:val="0076523B"/>
    <w:rsid w:val="00771B60"/>
    <w:rsid w:val="00781D77"/>
    <w:rsid w:val="00783549"/>
    <w:rsid w:val="00784B74"/>
    <w:rsid w:val="007860B7"/>
    <w:rsid w:val="00786DC8"/>
    <w:rsid w:val="007908B9"/>
    <w:rsid w:val="007A300D"/>
    <w:rsid w:val="007D449D"/>
    <w:rsid w:val="007D5A78"/>
    <w:rsid w:val="007E3BD1"/>
    <w:rsid w:val="007E402E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6273"/>
    <w:rsid w:val="00837FD6"/>
    <w:rsid w:val="00847B60"/>
    <w:rsid w:val="00850243"/>
    <w:rsid w:val="00851BE5"/>
    <w:rsid w:val="008545EB"/>
    <w:rsid w:val="00865011"/>
    <w:rsid w:val="0087501B"/>
    <w:rsid w:val="00881C22"/>
    <w:rsid w:val="00886790"/>
    <w:rsid w:val="0088782A"/>
    <w:rsid w:val="008908DE"/>
    <w:rsid w:val="00890E08"/>
    <w:rsid w:val="008A0AF4"/>
    <w:rsid w:val="008A12ED"/>
    <w:rsid w:val="008A39D3"/>
    <w:rsid w:val="008B2C77"/>
    <w:rsid w:val="008B4AD2"/>
    <w:rsid w:val="008B663E"/>
    <w:rsid w:val="008B7138"/>
    <w:rsid w:val="008D7F14"/>
    <w:rsid w:val="008E260C"/>
    <w:rsid w:val="008E39BE"/>
    <w:rsid w:val="008E62EC"/>
    <w:rsid w:val="008F32F6"/>
    <w:rsid w:val="00910E7C"/>
    <w:rsid w:val="00916CD7"/>
    <w:rsid w:val="00920927"/>
    <w:rsid w:val="00921B38"/>
    <w:rsid w:val="00923720"/>
    <w:rsid w:val="009278C9"/>
    <w:rsid w:val="00932CD7"/>
    <w:rsid w:val="00942995"/>
    <w:rsid w:val="00944C09"/>
    <w:rsid w:val="009527CB"/>
    <w:rsid w:val="00953835"/>
    <w:rsid w:val="00960F6C"/>
    <w:rsid w:val="00970747"/>
    <w:rsid w:val="00992B50"/>
    <w:rsid w:val="00997BFC"/>
    <w:rsid w:val="009A5900"/>
    <w:rsid w:val="009A6E6C"/>
    <w:rsid w:val="009A6F3F"/>
    <w:rsid w:val="009B307C"/>
    <w:rsid w:val="009B331A"/>
    <w:rsid w:val="009C2650"/>
    <w:rsid w:val="009D05DD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4FEE"/>
    <w:rsid w:val="00A45417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29FA"/>
    <w:rsid w:val="00AB3EC1"/>
    <w:rsid w:val="00AB46DE"/>
    <w:rsid w:val="00AC0696"/>
    <w:rsid w:val="00AC4C98"/>
    <w:rsid w:val="00AC5F6B"/>
    <w:rsid w:val="00AD3677"/>
    <w:rsid w:val="00AD3896"/>
    <w:rsid w:val="00AD5B47"/>
    <w:rsid w:val="00AE1ED9"/>
    <w:rsid w:val="00AE32CB"/>
    <w:rsid w:val="00AF3957"/>
    <w:rsid w:val="00B0712C"/>
    <w:rsid w:val="00B12013"/>
    <w:rsid w:val="00B176F6"/>
    <w:rsid w:val="00B22C67"/>
    <w:rsid w:val="00B3508F"/>
    <w:rsid w:val="00B443EE"/>
    <w:rsid w:val="00B560C8"/>
    <w:rsid w:val="00B61150"/>
    <w:rsid w:val="00B64961"/>
    <w:rsid w:val="00B65BC7"/>
    <w:rsid w:val="00B746B9"/>
    <w:rsid w:val="00B848D4"/>
    <w:rsid w:val="00B865B7"/>
    <w:rsid w:val="00B87E7C"/>
    <w:rsid w:val="00B937A6"/>
    <w:rsid w:val="00BA1CB1"/>
    <w:rsid w:val="00BA4178"/>
    <w:rsid w:val="00BA482D"/>
    <w:rsid w:val="00BA5615"/>
    <w:rsid w:val="00BB1755"/>
    <w:rsid w:val="00BB23F4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3BC2"/>
    <w:rsid w:val="00C742EC"/>
    <w:rsid w:val="00C756CB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7E29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3286"/>
    <w:rsid w:val="00DC5A3A"/>
    <w:rsid w:val="00DD0726"/>
    <w:rsid w:val="00DD32A0"/>
    <w:rsid w:val="00DE653E"/>
    <w:rsid w:val="00E01084"/>
    <w:rsid w:val="00E17A92"/>
    <w:rsid w:val="00E238E6"/>
    <w:rsid w:val="00E34CD8"/>
    <w:rsid w:val="00E35064"/>
    <w:rsid w:val="00E3548E"/>
    <w:rsid w:val="00E3681D"/>
    <w:rsid w:val="00E40225"/>
    <w:rsid w:val="00E501F0"/>
    <w:rsid w:val="00E54608"/>
    <w:rsid w:val="00E6166D"/>
    <w:rsid w:val="00E81C6A"/>
    <w:rsid w:val="00E91BFF"/>
    <w:rsid w:val="00E92933"/>
    <w:rsid w:val="00E94FAD"/>
    <w:rsid w:val="00EB0AA4"/>
    <w:rsid w:val="00EB5C88"/>
    <w:rsid w:val="00EC0469"/>
    <w:rsid w:val="00EC0C3E"/>
    <w:rsid w:val="00EE0DFF"/>
    <w:rsid w:val="00EF01F8"/>
    <w:rsid w:val="00EF3268"/>
    <w:rsid w:val="00EF365D"/>
    <w:rsid w:val="00EF40EF"/>
    <w:rsid w:val="00EF47FE"/>
    <w:rsid w:val="00EF7994"/>
    <w:rsid w:val="00F069BD"/>
    <w:rsid w:val="00F1480E"/>
    <w:rsid w:val="00F1497D"/>
    <w:rsid w:val="00F16AAC"/>
    <w:rsid w:val="00F21A1B"/>
    <w:rsid w:val="00F30C7D"/>
    <w:rsid w:val="00F33FF2"/>
    <w:rsid w:val="00F37968"/>
    <w:rsid w:val="00F438FC"/>
    <w:rsid w:val="00F5616F"/>
    <w:rsid w:val="00F56451"/>
    <w:rsid w:val="00F56827"/>
    <w:rsid w:val="00F62866"/>
    <w:rsid w:val="00F65EF0"/>
    <w:rsid w:val="00F71651"/>
    <w:rsid w:val="00F74D01"/>
    <w:rsid w:val="00F76191"/>
    <w:rsid w:val="00F76CC6"/>
    <w:rsid w:val="00F83D7C"/>
    <w:rsid w:val="00FB232E"/>
    <w:rsid w:val="00FD38A9"/>
    <w:rsid w:val="00FD557D"/>
    <w:rsid w:val="00FE0282"/>
    <w:rsid w:val="00FE124D"/>
    <w:rsid w:val="00FE787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044B6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44B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7599E3-1FA4-4731-8CCC-088960F06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</TotalTime>
  <Pages>4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8522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10</cp:revision>
  <cp:lastPrinted>2016-05-27T05:21:00Z</cp:lastPrinted>
  <dcterms:created xsi:type="dcterms:W3CDTF">2022-08-16T04:06:00Z</dcterms:created>
  <dcterms:modified xsi:type="dcterms:W3CDTF">2022-10-26T23:28:00Z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